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fixed"/>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rPr>
          <w:wBefore w:w="0" w:type="dxa"/>
        </w:trPr>
        <w:tc>
          <w:tcPr>
            <w:tcW w:w="2840" w:type="dxa"/>
            <w:noWrap w:val="0"/>
            <w:vAlign w:val="top"/>
          </w:tcPr>
          <w:p>
            <w:pPr>
              <w:adjustRightInd w:val="0"/>
              <w:snapToGrid w:val="0"/>
              <w:spacing w:line="440" w:lineRule="exact"/>
              <w:rPr>
                <w:rFonts w:hint="default" w:eastAsia="宋体"/>
                <w:color w:val="auto"/>
                <w:sz w:val="24"/>
              </w:rPr>
            </w:pPr>
            <w:bookmarkStart w:id="0" w:name="_GoBack"/>
            <w:bookmarkEnd w:id="0"/>
            <w:r>
              <w:rPr>
                <w:rFonts w:hint="default" w:eastAsia="宋体"/>
                <w:color w:val="auto"/>
                <w:sz w:val="24"/>
              </w:rPr>
              <w:t>证券代码：000881</w:t>
            </w:r>
          </w:p>
        </w:tc>
        <w:tc>
          <w:tcPr>
            <w:tcW w:w="2841" w:type="dxa"/>
            <w:noWrap w:val="0"/>
            <w:vAlign w:val="top"/>
          </w:tcPr>
          <w:p>
            <w:pPr>
              <w:adjustRightInd w:val="0"/>
              <w:snapToGrid w:val="0"/>
              <w:spacing w:line="440" w:lineRule="exact"/>
              <w:jc w:val="center"/>
              <w:rPr>
                <w:rFonts w:hint="default" w:eastAsia="宋体"/>
                <w:color w:val="auto"/>
                <w:sz w:val="24"/>
              </w:rPr>
            </w:pPr>
            <w:r>
              <w:rPr>
                <w:rFonts w:hint="default" w:eastAsia="宋体"/>
                <w:color w:val="auto"/>
                <w:sz w:val="24"/>
              </w:rPr>
              <w:t>证券简称：中广核技</w:t>
            </w:r>
          </w:p>
        </w:tc>
        <w:tc>
          <w:tcPr>
            <w:tcW w:w="2841" w:type="dxa"/>
            <w:noWrap w:val="0"/>
            <w:vAlign w:val="top"/>
          </w:tcPr>
          <w:p>
            <w:pPr>
              <w:adjustRightInd w:val="0"/>
              <w:snapToGrid w:val="0"/>
              <w:spacing w:line="440" w:lineRule="exact"/>
              <w:jc w:val="right"/>
              <w:rPr>
                <w:rFonts w:hint="default" w:eastAsia="宋体"/>
                <w:color w:val="auto"/>
                <w:sz w:val="24"/>
                <w:lang w:val="en-US" w:eastAsia="zh-CN"/>
              </w:rPr>
            </w:pPr>
            <w:r>
              <w:rPr>
                <w:rFonts w:hint="default" w:eastAsia="宋体"/>
                <w:color w:val="auto"/>
                <w:sz w:val="24"/>
              </w:rPr>
              <w:t>公告编号：202</w:t>
            </w:r>
            <w:r>
              <w:rPr>
                <w:rFonts w:eastAsia="宋体"/>
                <w:color w:val="auto"/>
                <w:sz w:val="24"/>
              </w:rPr>
              <w:t>4</w:t>
            </w:r>
            <w:r>
              <w:rPr>
                <w:rFonts w:hint="default" w:eastAsia="宋体"/>
                <w:color w:val="auto"/>
                <w:sz w:val="24"/>
              </w:rPr>
              <w:t>-0</w:t>
            </w:r>
            <w:r>
              <w:rPr>
                <w:rFonts w:hint="eastAsia" w:eastAsia="宋体"/>
                <w:color w:val="auto"/>
                <w:sz w:val="24"/>
                <w:lang w:val="en-US" w:eastAsia="zh-CN"/>
              </w:rPr>
              <w:t>24</w:t>
            </w:r>
          </w:p>
        </w:tc>
      </w:tr>
    </w:tbl>
    <w:p>
      <w:pPr>
        <w:snapToGrid w:val="0"/>
        <w:spacing w:before="156" w:beforeLines="50"/>
        <w:jc w:val="center"/>
        <w:rPr>
          <w:rFonts w:eastAsia="宋体"/>
          <w:b/>
          <w:color w:val="auto"/>
          <w:sz w:val="36"/>
          <w:szCs w:val="36"/>
        </w:rPr>
      </w:pPr>
      <w:r>
        <w:rPr>
          <w:rFonts w:eastAsia="宋体"/>
          <w:b/>
          <w:color w:val="auto"/>
          <w:sz w:val="36"/>
          <w:szCs w:val="36"/>
        </w:rPr>
        <w:t>中广核核技术发展股份有限公司</w:t>
      </w:r>
    </w:p>
    <w:p>
      <w:pPr>
        <w:snapToGrid w:val="0"/>
        <w:jc w:val="center"/>
        <w:rPr>
          <w:rFonts w:eastAsia="宋体"/>
          <w:b/>
          <w:color w:val="auto"/>
          <w:sz w:val="36"/>
          <w:szCs w:val="36"/>
        </w:rPr>
      </w:pPr>
      <w:r>
        <w:rPr>
          <w:rFonts w:eastAsia="宋体"/>
          <w:b/>
          <w:color w:val="auto"/>
          <w:sz w:val="36"/>
          <w:szCs w:val="36"/>
        </w:rPr>
        <w:t>关于使用</w:t>
      </w:r>
      <w:r>
        <w:rPr>
          <w:rFonts w:hint="eastAsia" w:eastAsia="宋体"/>
          <w:b/>
          <w:color w:val="auto"/>
          <w:sz w:val="36"/>
          <w:szCs w:val="36"/>
        </w:rPr>
        <w:t>暂时</w:t>
      </w:r>
      <w:r>
        <w:rPr>
          <w:rFonts w:eastAsia="宋体"/>
          <w:b/>
          <w:color w:val="auto"/>
          <w:sz w:val="36"/>
          <w:szCs w:val="36"/>
        </w:rPr>
        <w:t>闲置募集资金</w:t>
      </w:r>
      <w:r>
        <w:rPr>
          <w:rFonts w:hint="eastAsia" w:eastAsia="宋体"/>
          <w:b/>
          <w:color w:val="auto"/>
          <w:sz w:val="36"/>
          <w:szCs w:val="36"/>
        </w:rPr>
        <w:t>进行现金管理</w:t>
      </w:r>
      <w:r>
        <w:rPr>
          <w:rFonts w:eastAsia="宋体"/>
          <w:b/>
          <w:color w:val="auto"/>
          <w:sz w:val="36"/>
          <w:szCs w:val="36"/>
        </w:rPr>
        <w:t>的公告</w:t>
      </w:r>
    </w:p>
    <w:p>
      <w:pPr>
        <w:snapToGrid w:val="0"/>
        <w:spacing w:before="156" w:beforeLines="50" w:line="360" w:lineRule="auto"/>
        <w:ind w:firstLine="422" w:firstLineChars="200"/>
        <w:rPr>
          <w:rFonts w:eastAsia="宋体"/>
          <w:b/>
          <w:color w:val="auto"/>
          <w:szCs w:val="21"/>
        </w:rPr>
      </w:pPr>
      <w:r>
        <w:rPr>
          <w:rFonts w:eastAsia="宋体"/>
          <w:b/>
          <w:color w:val="auto"/>
          <w:szCs w:val="21"/>
        </w:rPr>
        <w:t>本公司及董事会全体成员保证信息披露内容的真实、准确和完整，没有虚假记载、误导性陈述或重大遗漏。</w:t>
      </w:r>
    </w:p>
    <w:p>
      <w:pPr>
        <w:pStyle w:val="22"/>
        <w:adjustRightInd w:val="0"/>
        <w:snapToGrid w:val="0"/>
        <w:spacing w:line="360" w:lineRule="auto"/>
        <w:ind w:firstLine="482"/>
        <w:outlineLvl w:val="0"/>
        <w:rPr>
          <w:rFonts w:eastAsia="宋体"/>
          <w:b/>
          <w:color w:val="auto"/>
          <w:sz w:val="24"/>
        </w:rPr>
      </w:pPr>
      <w:r>
        <w:rPr>
          <w:rFonts w:eastAsia="宋体"/>
          <w:b/>
          <w:color w:val="auto"/>
          <w:sz w:val="24"/>
        </w:rPr>
        <w:t>一、募集资金基本情况</w:t>
      </w:r>
    </w:p>
    <w:p>
      <w:pPr>
        <w:adjustRightInd w:val="0"/>
        <w:snapToGrid w:val="0"/>
        <w:spacing w:line="360" w:lineRule="auto"/>
        <w:ind w:firstLine="480" w:firstLineChars="200"/>
        <w:rPr>
          <w:rFonts w:eastAsia="宋体"/>
          <w:color w:val="auto"/>
          <w:sz w:val="24"/>
          <w:szCs w:val="24"/>
        </w:rPr>
      </w:pPr>
      <w:r>
        <w:rPr>
          <w:rFonts w:eastAsia="宋体"/>
          <w:color w:val="auto"/>
          <w:sz w:val="24"/>
          <w:szCs w:val="24"/>
        </w:rPr>
        <w:t>经中国证券监督管理委员会《关于核准中国大连国际合作（集团）股份有限公司向中广核核技术应用有限公司等发行股份购买资产并募集配套资金的批复》（证监许可[2016]2412号）核准，公司（原中国大连国际合作（集团）股份有限公司）非公开发行人民币普通股（A股）267,686,421股，每股面值1元，实际发行价格每股10.46元，共募集人民币2,799,999,963.66元，扣除承销费用40,500,000.00元，以及与发行有关的费用4,364,290.60元（律师费、验资费、证券登记费等），实际募集资金人民币2,755,135,673.06元。上述资金已于2016年12月30日全部到位，并经中准会计师事务所（特殊普通合伙）予以验证，并出具了《验资报告》（中准验字[2016]1210号）。</w:t>
      </w:r>
    </w:p>
    <w:p>
      <w:pPr>
        <w:adjustRightInd w:val="0"/>
        <w:snapToGrid w:val="0"/>
        <w:spacing w:line="360" w:lineRule="auto"/>
        <w:ind w:firstLine="480" w:firstLineChars="200"/>
        <w:rPr>
          <w:rFonts w:eastAsia="宋体"/>
          <w:color w:val="auto"/>
          <w:sz w:val="24"/>
          <w:szCs w:val="24"/>
        </w:rPr>
      </w:pPr>
      <w:r>
        <w:rPr>
          <w:rFonts w:eastAsia="宋体"/>
          <w:color w:val="auto"/>
          <w:sz w:val="24"/>
          <w:szCs w:val="24"/>
        </w:rPr>
        <w:t>根据《中国大连国际合作（集团）股份有限公司发行股份购买资产并募集配套资金暨关联交易报告书（修订版）》，公司本次非公开发行股票募集资金将全部用于以下项目：</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5671"/>
        <w:gridCol w:w="17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shd w:val="clear" w:color="auto" w:fill="D9D9D9"/>
            <w:noWrap w:val="0"/>
            <w:vAlign w:val="center"/>
          </w:tcPr>
          <w:p>
            <w:pPr>
              <w:widowControl/>
              <w:jc w:val="center"/>
              <w:rPr>
                <w:rFonts w:hint="default" w:eastAsia="宋体"/>
                <w:b/>
                <w:color w:val="auto"/>
                <w:kern w:val="0"/>
                <w:szCs w:val="21"/>
              </w:rPr>
            </w:pPr>
            <w:r>
              <w:rPr>
                <w:rFonts w:hint="default" w:eastAsia="宋体"/>
                <w:b/>
                <w:color w:val="auto"/>
                <w:kern w:val="0"/>
                <w:szCs w:val="21"/>
              </w:rPr>
              <w:t>项目序号</w:t>
            </w:r>
          </w:p>
        </w:tc>
        <w:tc>
          <w:tcPr>
            <w:tcW w:w="5671" w:type="dxa"/>
            <w:shd w:val="clear" w:color="auto" w:fill="D9D9D9"/>
            <w:noWrap w:val="0"/>
            <w:vAlign w:val="center"/>
          </w:tcPr>
          <w:p>
            <w:pPr>
              <w:widowControl/>
              <w:jc w:val="center"/>
              <w:rPr>
                <w:rFonts w:hint="default" w:eastAsia="宋体"/>
                <w:b/>
                <w:color w:val="auto"/>
                <w:kern w:val="0"/>
                <w:szCs w:val="21"/>
              </w:rPr>
            </w:pPr>
            <w:r>
              <w:rPr>
                <w:rFonts w:hint="default" w:eastAsia="宋体"/>
                <w:b/>
                <w:color w:val="auto"/>
                <w:kern w:val="0"/>
                <w:szCs w:val="21"/>
              </w:rPr>
              <w:t>项目名称</w:t>
            </w:r>
          </w:p>
        </w:tc>
        <w:tc>
          <w:tcPr>
            <w:tcW w:w="1750" w:type="dxa"/>
            <w:shd w:val="clear" w:color="auto" w:fill="D9D9D9"/>
            <w:noWrap w:val="0"/>
            <w:vAlign w:val="center"/>
          </w:tcPr>
          <w:p>
            <w:pPr>
              <w:widowControl/>
              <w:jc w:val="center"/>
              <w:rPr>
                <w:rFonts w:hint="default" w:eastAsia="宋体"/>
                <w:b/>
                <w:color w:val="auto"/>
                <w:kern w:val="0"/>
                <w:szCs w:val="21"/>
              </w:rPr>
            </w:pPr>
            <w:r>
              <w:rPr>
                <w:rFonts w:hint="default" w:eastAsia="宋体"/>
                <w:b/>
                <w:color w:val="auto"/>
                <w:kern w:val="0"/>
                <w:szCs w:val="21"/>
              </w:rPr>
              <w:t>募集资金承诺投资总额（万元）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color w:val="auto"/>
                <w:kern w:val="0"/>
                <w:szCs w:val="21"/>
              </w:rPr>
            </w:pPr>
            <w:r>
              <w:rPr>
                <w:rFonts w:hint="default" w:eastAsia="宋体"/>
                <w:color w:val="auto"/>
                <w:kern w:val="0"/>
                <w:szCs w:val="21"/>
              </w:rPr>
              <w:t>项目一</w:t>
            </w:r>
          </w:p>
        </w:tc>
        <w:tc>
          <w:tcPr>
            <w:tcW w:w="5671" w:type="dxa"/>
            <w:noWrap w:val="0"/>
            <w:vAlign w:val="center"/>
          </w:tcPr>
          <w:p>
            <w:pPr>
              <w:widowControl/>
              <w:jc w:val="left"/>
              <w:rPr>
                <w:rFonts w:hint="default" w:eastAsia="宋体"/>
                <w:color w:val="auto"/>
                <w:kern w:val="0"/>
                <w:szCs w:val="21"/>
              </w:rPr>
            </w:pPr>
            <w:r>
              <w:rPr>
                <w:rFonts w:hint="default" w:eastAsia="宋体"/>
                <w:color w:val="auto"/>
                <w:kern w:val="0"/>
                <w:szCs w:val="21"/>
              </w:rPr>
              <w:t>技术研究开发中心扩建项目</w:t>
            </w:r>
          </w:p>
        </w:tc>
        <w:tc>
          <w:tcPr>
            <w:tcW w:w="1750" w:type="dxa"/>
            <w:noWrap w:val="0"/>
            <w:vAlign w:val="center"/>
          </w:tcPr>
          <w:p>
            <w:pPr>
              <w:ind w:right="105" w:rightChars="50"/>
              <w:jc w:val="right"/>
              <w:rPr>
                <w:rFonts w:hint="default" w:eastAsia="宋体"/>
                <w:color w:val="auto"/>
                <w:kern w:val="0"/>
                <w:szCs w:val="21"/>
              </w:rPr>
            </w:pPr>
            <w:r>
              <w:rPr>
                <w:rFonts w:hint="default" w:eastAsia="宋体"/>
                <w:color w:val="auto"/>
                <w:kern w:val="0"/>
                <w:szCs w:val="21"/>
              </w:rPr>
              <w:t>11,032.00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color w:val="auto"/>
                <w:kern w:val="0"/>
                <w:szCs w:val="21"/>
              </w:rPr>
            </w:pPr>
            <w:r>
              <w:rPr>
                <w:rFonts w:hint="default" w:eastAsia="宋体"/>
                <w:color w:val="auto"/>
                <w:kern w:val="0"/>
                <w:szCs w:val="21"/>
              </w:rPr>
              <w:t>项目二</w:t>
            </w:r>
          </w:p>
        </w:tc>
        <w:tc>
          <w:tcPr>
            <w:tcW w:w="5671" w:type="dxa"/>
            <w:noWrap w:val="0"/>
            <w:vAlign w:val="center"/>
          </w:tcPr>
          <w:p>
            <w:pPr>
              <w:widowControl/>
              <w:jc w:val="left"/>
              <w:rPr>
                <w:rFonts w:hint="default" w:eastAsia="宋体"/>
                <w:color w:val="auto"/>
                <w:kern w:val="0"/>
                <w:szCs w:val="21"/>
              </w:rPr>
            </w:pPr>
            <w:r>
              <w:rPr>
                <w:rFonts w:hint="default" w:eastAsia="宋体"/>
                <w:color w:val="auto"/>
                <w:kern w:val="0"/>
                <w:szCs w:val="21"/>
              </w:rPr>
              <w:t>年产2.4万吨长玻纤增强聚丙烯车用结构材料（LFT）生产建设项目</w:t>
            </w:r>
          </w:p>
        </w:tc>
        <w:tc>
          <w:tcPr>
            <w:tcW w:w="1750" w:type="dxa"/>
            <w:noWrap w:val="0"/>
            <w:vAlign w:val="center"/>
          </w:tcPr>
          <w:p>
            <w:pPr>
              <w:ind w:right="105" w:rightChars="50"/>
              <w:jc w:val="right"/>
              <w:rPr>
                <w:rFonts w:hint="default" w:eastAsia="宋体"/>
                <w:color w:val="auto"/>
                <w:kern w:val="0"/>
                <w:szCs w:val="21"/>
              </w:rPr>
            </w:pPr>
            <w:r>
              <w:rPr>
                <w:rFonts w:hint="default" w:eastAsia="宋体"/>
                <w:color w:val="auto"/>
                <w:kern w:val="0"/>
                <w:szCs w:val="21"/>
              </w:rPr>
              <w:t>16,128.00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color w:val="auto"/>
                <w:kern w:val="0"/>
                <w:szCs w:val="21"/>
              </w:rPr>
            </w:pPr>
            <w:r>
              <w:rPr>
                <w:rFonts w:hint="default" w:eastAsia="宋体"/>
                <w:color w:val="auto"/>
                <w:kern w:val="0"/>
                <w:szCs w:val="21"/>
              </w:rPr>
              <w:t>项目三</w:t>
            </w:r>
          </w:p>
        </w:tc>
        <w:tc>
          <w:tcPr>
            <w:tcW w:w="5671" w:type="dxa"/>
            <w:noWrap w:val="0"/>
            <w:vAlign w:val="center"/>
          </w:tcPr>
          <w:p>
            <w:pPr>
              <w:widowControl/>
              <w:jc w:val="left"/>
              <w:rPr>
                <w:rFonts w:hint="default" w:eastAsia="宋体"/>
                <w:color w:val="auto"/>
                <w:kern w:val="0"/>
                <w:szCs w:val="21"/>
              </w:rPr>
            </w:pPr>
            <w:r>
              <w:rPr>
                <w:rFonts w:hint="default" w:eastAsia="宋体"/>
                <w:color w:val="auto"/>
                <w:kern w:val="0"/>
                <w:szCs w:val="21"/>
              </w:rPr>
              <w:t>年产6.6万吨高性能改性尼龙（PA）生产建设项目</w:t>
            </w:r>
          </w:p>
        </w:tc>
        <w:tc>
          <w:tcPr>
            <w:tcW w:w="1750" w:type="dxa"/>
            <w:noWrap w:val="0"/>
            <w:vAlign w:val="center"/>
          </w:tcPr>
          <w:p>
            <w:pPr>
              <w:ind w:right="105" w:rightChars="50"/>
              <w:jc w:val="right"/>
              <w:rPr>
                <w:rFonts w:hint="default" w:eastAsia="宋体"/>
                <w:color w:val="auto"/>
                <w:kern w:val="0"/>
                <w:szCs w:val="21"/>
              </w:rPr>
            </w:pPr>
            <w:r>
              <w:rPr>
                <w:rFonts w:hint="default" w:eastAsia="宋体"/>
                <w:color w:val="auto"/>
                <w:kern w:val="0"/>
                <w:szCs w:val="21"/>
              </w:rPr>
              <w:t>36,860.00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color w:val="auto"/>
                <w:kern w:val="0"/>
                <w:szCs w:val="21"/>
              </w:rPr>
            </w:pPr>
            <w:r>
              <w:rPr>
                <w:rFonts w:hint="default" w:eastAsia="宋体"/>
                <w:color w:val="auto"/>
                <w:kern w:val="0"/>
                <w:szCs w:val="21"/>
              </w:rPr>
              <w:t>项目四</w:t>
            </w:r>
          </w:p>
        </w:tc>
        <w:tc>
          <w:tcPr>
            <w:tcW w:w="5671" w:type="dxa"/>
            <w:noWrap w:val="0"/>
            <w:vAlign w:val="center"/>
          </w:tcPr>
          <w:p>
            <w:pPr>
              <w:widowControl/>
              <w:jc w:val="left"/>
              <w:rPr>
                <w:rFonts w:hint="default" w:eastAsia="宋体"/>
                <w:color w:val="auto"/>
                <w:kern w:val="0"/>
                <w:szCs w:val="21"/>
              </w:rPr>
            </w:pPr>
            <w:r>
              <w:rPr>
                <w:rFonts w:hint="default" w:eastAsia="宋体"/>
                <w:color w:val="auto"/>
                <w:kern w:val="0"/>
                <w:szCs w:val="21"/>
              </w:rPr>
              <w:t>年产3万吨高性能改性聚碳酸脂（PC）生产建设项目</w:t>
            </w:r>
          </w:p>
        </w:tc>
        <w:tc>
          <w:tcPr>
            <w:tcW w:w="1750" w:type="dxa"/>
            <w:noWrap w:val="0"/>
            <w:vAlign w:val="center"/>
          </w:tcPr>
          <w:p>
            <w:pPr>
              <w:ind w:right="105" w:rightChars="50"/>
              <w:jc w:val="right"/>
              <w:rPr>
                <w:rFonts w:hint="default" w:eastAsia="宋体"/>
                <w:color w:val="auto"/>
                <w:kern w:val="0"/>
                <w:szCs w:val="21"/>
              </w:rPr>
            </w:pPr>
            <w:r>
              <w:rPr>
                <w:rFonts w:hint="default" w:eastAsia="宋体"/>
                <w:color w:val="auto"/>
                <w:kern w:val="0"/>
                <w:szCs w:val="21"/>
              </w:rPr>
              <w:t>16,414.00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color w:val="auto"/>
                <w:kern w:val="0"/>
                <w:szCs w:val="21"/>
              </w:rPr>
            </w:pPr>
            <w:r>
              <w:rPr>
                <w:rFonts w:hint="default" w:eastAsia="宋体"/>
                <w:color w:val="auto"/>
                <w:kern w:val="0"/>
                <w:szCs w:val="21"/>
              </w:rPr>
              <w:t>项目五</w:t>
            </w:r>
          </w:p>
        </w:tc>
        <w:tc>
          <w:tcPr>
            <w:tcW w:w="5671" w:type="dxa"/>
            <w:noWrap w:val="0"/>
            <w:vAlign w:val="center"/>
          </w:tcPr>
          <w:p>
            <w:pPr>
              <w:widowControl/>
              <w:jc w:val="left"/>
              <w:rPr>
                <w:rFonts w:hint="default" w:eastAsia="宋体"/>
                <w:color w:val="auto"/>
                <w:kern w:val="0"/>
                <w:szCs w:val="21"/>
              </w:rPr>
            </w:pPr>
            <w:r>
              <w:rPr>
                <w:rFonts w:hint="default" w:eastAsia="宋体"/>
                <w:color w:val="auto"/>
                <w:kern w:val="0"/>
                <w:szCs w:val="21"/>
              </w:rPr>
              <w:t>13.485万吨高聚物材料新建项目</w:t>
            </w:r>
          </w:p>
        </w:tc>
        <w:tc>
          <w:tcPr>
            <w:tcW w:w="1750" w:type="dxa"/>
            <w:noWrap w:val="0"/>
            <w:vAlign w:val="center"/>
          </w:tcPr>
          <w:p>
            <w:pPr>
              <w:ind w:right="105" w:rightChars="50"/>
              <w:jc w:val="right"/>
              <w:rPr>
                <w:rFonts w:hint="default" w:eastAsia="宋体"/>
                <w:color w:val="auto"/>
                <w:kern w:val="0"/>
                <w:szCs w:val="21"/>
              </w:rPr>
            </w:pPr>
            <w:r>
              <w:rPr>
                <w:rFonts w:hint="default" w:eastAsia="宋体"/>
                <w:color w:val="auto"/>
                <w:kern w:val="0"/>
                <w:szCs w:val="21"/>
              </w:rPr>
              <w:t>53,076.70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color w:val="auto"/>
                <w:kern w:val="0"/>
                <w:szCs w:val="21"/>
              </w:rPr>
            </w:pPr>
            <w:r>
              <w:rPr>
                <w:rFonts w:hint="default" w:eastAsia="宋体"/>
                <w:color w:val="auto"/>
                <w:kern w:val="0"/>
                <w:szCs w:val="21"/>
              </w:rPr>
              <w:t>项目六</w:t>
            </w:r>
          </w:p>
        </w:tc>
        <w:tc>
          <w:tcPr>
            <w:tcW w:w="5671" w:type="dxa"/>
            <w:noWrap w:val="0"/>
            <w:vAlign w:val="center"/>
          </w:tcPr>
          <w:p>
            <w:pPr>
              <w:widowControl/>
              <w:jc w:val="left"/>
              <w:rPr>
                <w:rFonts w:hint="default" w:eastAsia="宋体"/>
                <w:color w:val="auto"/>
                <w:kern w:val="0"/>
                <w:szCs w:val="21"/>
              </w:rPr>
            </w:pPr>
            <w:r>
              <w:rPr>
                <w:rFonts w:hint="default" w:eastAsia="宋体"/>
                <w:color w:val="auto"/>
                <w:kern w:val="0"/>
                <w:szCs w:val="21"/>
              </w:rPr>
              <w:t>10万吨高聚物材料新建项目</w:t>
            </w:r>
          </w:p>
        </w:tc>
        <w:tc>
          <w:tcPr>
            <w:tcW w:w="1750" w:type="dxa"/>
            <w:noWrap w:val="0"/>
            <w:vAlign w:val="center"/>
          </w:tcPr>
          <w:p>
            <w:pPr>
              <w:ind w:right="105" w:rightChars="50"/>
              <w:jc w:val="right"/>
              <w:rPr>
                <w:rFonts w:hint="default" w:eastAsia="宋体"/>
                <w:color w:val="auto"/>
                <w:kern w:val="0"/>
                <w:szCs w:val="21"/>
              </w:rPr>
            </w:pPr>
            <w:r>
              <w:rPr>
                <w:rFonts w:hint="default" w:eastAsia="宋体"/>
                <w:color w:val="auto"/>
                <w:kern w:val="0"/>
                <w:szCs w:val="21"/>
              </w:rPr>
              <w:t>37,142.60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color w:val="auto"/>
                <w:kern w:val="0"/>
                <w:szCs w:val="21"/>
              </w:rPr>
            </w:pPr>
            <w:r>
              <w:rPr>
                <w:rFonts w:hint="default" w:eastAsia="宋体"/>
                <w:color w:val="auto"/>
                <w:kern w:val="0"/>
                <w:szCs w:val="21"/>
              </w:rPr>
              <w:t>项目七</w:t>
            </w:r>
          </w:p>
        </w:tc>
        <w:tc>
          <w:tcPr>
            <w:tcW w:w="5671" w:type="dxa"/>
            <w:noWrap w:val="0"/>
            <w:vAlign w:val="center"/>
          </w:tcPr>
          <w:p>
            <w:pPr>
              <w:widowControl/>
              <w:jc w:val="left"/>
              <w:rPr>
                <w:rFonts w:hint="default" w:eastAsia="宋体"/>
                <w:color w:val="auto"/>
                <w:kern w:val="0"/>
                <w:szCs w:val="21"/>
              </w:rPr>
            </w:pPr>
            <w:r>
              <w:rPr>
                <w:rFonts w:hint="default" w:eastAsia="宋体"/>
                <w:color w:val="auto"/>
                <w:kern w:val="0"/>
                <w:szCs w:val="21"/>
              </w:rPr>
              <w:t>18万吨高聚物材料新建项目</w:t>
            </w:r>
          </w:p>
        </w:tc>
        <w:tc>
          <w:tcPr>
            <w:tcW w:w="1750" w:type="dxa"/>
            <w:noWrap w:val="0"/>
            <w:vAlign w:val="center"/>
          </w:tcPr>
          <w:p>
            <w:pPr>
              <w:ind w:right="105" w:rightChars="50"/>
              <w:jc w:val="right"/>
              <w:rPr>
                <w:rFonts w:hint="default" w:eastAsia="宋体"/>
                <w:color w:val="auto"/>
                <w:kern w:val="0"/>
                <w:szCs w:val="21"/>
              </w:rPr>
            </w:pPr>
            <w:r>
              <w:rPr>
                <w:rFonts w:hint="default" w:eastAsia="宋体"/>
                <w:color w:val="auto"/>
                <w:kern w:val="0"/>
                <w:szCs w:val="21"/>
              </w:rPr>
              <w:t>68,248.40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color w:val="auto"/>
                <w:kern w:val="0"/>
                <w:szCs w:val="21"/>
              </w:rPr>
            </w:pPr>
          </w:p>
        </w:tc>
        <w:tc>
          <w:tcPr>
            <w:tcW w:w="5671" w:type="dxa"/>
            <w:noWrap w:val="0"/>
            <w:vAlign w:val="center"/>
          </w:tcPr>
          <w:p>
            <w:pPr>
              <w:widowControl/>
              <w:rPr>
                <w:rFonts w:hint="default" w:eastAsia="宋体"/>
                <w:color w:val="auto"/>
                <w:kern w:val="0"/>
                <w:szCs w:val="21"/>
              </w:rPr>
            </w:pPr>
            <w:r>
              <w:rPr>
                <w:rFonts w:hint="default" w:eastAsia="宋体"/>
                <w:color w:val="auto"/>
                <w:kern w:val="0"/>
                <w:szCs w:val="21"/>
              </w:rPr>
              <w:t>补充标的公司流动资金</w:t>
            </w:r>
          </w:p>
        </w:tc>
        <w:tc>
          <w:tcPr>
            <w:tcW w:w="1750" w:type="dxa"/>
            <w:noWrap w:val="0"/>
            <w:vAlign w:val="center"/>
          </w:tcPr>
          <w:p>
            <w:pPr>
              <w:ind w:right="105" w:rightChars="50"/>
              <w:jc w:val="right"/>
              <w:rPr>
                <w:rFonts w:hint="default" w:eastAsia="宋体"/>
                <w:color w:val="auto"/>
                <w:kern w:val="0"/>
                <w:szCs w:val="21"/>
              </w:rPr>
            </w:pPr>
            <w:r>
              <w:rPr>
                <w:rFonts w:hint="default" w:eastAsia="宋体"/>
                <w:color w:val="auto"/>
                <w:kern w:val="0"/>
                <w:szCs w:val="21"/>
              </w:rPr>
              <w:t>36,611.87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97" w:hRule="atLeast"/>
        </w:trPr>
        <w:tc>
          <w:tcPr>
            <w:tcW w:w="1101" w:type="dxa"/>
            <w:noWrap w:val="0"/>
            <w:vAlign w:val="center"/>
          </w:tcPr>
          <w:p>
            <w:pPr>
              <w:widowControl/>
              <w:jc w:val="center"/>
              <w:rPr>
                <w:rFonts w:hint="default" w:eastAsia="宋体"/>
                <w:b/>
                <w:color w:val="auto"/>
                <w:kern w:val="0"/>
                <w:szCs w:val="21"/>
              </w:rPr>
            </w:pPr>
          </w:p>
        </w:tc>
        <w:tc>
          <w:tcPr>
            <w:tcW w:w="5671" w:type="dxa"/>
            <w:noWrap w:val="0"/>
            <w:vAlign w:val="center"/>
          </w:tcPr>
          <w:p>
            <w:pPr>
              <w:widowControl/>
              <w:jc w:val="center"/>
              <w:rPr>
                <w:rFonts w:hint="default" w:eastAsia="宋体"/>
                <w:b/>
                <w:color w:val="auto"/>
                <w:kern w:val="0"/>
                <w:szCs w:val="21"/>
              </w:rPr>
            </w:pPr>
            <w:r>
              <w:rPr>
                <w:rFonts w:hint="default" w:eastAsia="宋体"/>
                <w:b/>
                <w:color w:val="auto"/>
                <w:kern w:val="0"/>
                <w:szCs w:val="21"/>
              </w:rPr>
              <w:t>合计</w:t>
            </w:r>
          </w:p>
        </w:tc>
        <w:tc>
          <w:tcPr>
            <w:tcW w:w="1750" w:type="dxa"/>
            <w:noWrap w:val="0"/>
            <w:vAlign w:val="center"/>
          </w:tcPr>
          <w:p>
            <w:pPr>
              <w:widowControl/>
              <w:ind w:right="105" w:rightChars="50"/>
              <w:jc w:val="right"/>
              <w:rPr>
                <w:rFonts w:hint="default" w:eastAsia="宋体"/>
                <w:b/>
                <w:color w:val="auto"/>
                <w:kern w:val="0"/>
                <w:szCs w:val="21"/>
              </w:rPr>
            </w:pPr>
            <w:r>
              <w:rPr>
                <w:rFonts w:hint="default" w:eastAsia="宋体"/>
                <w:b/>
                <w:color w:val="auto"/>
                <w:kern w:val="0"/>
                <w:szCs w:val="21"/>
              </w:rPr>
              <w:t>275,513.57</w:t>
            </w:r>
          </w:p>
        </w:tc>
      </w:tr>
    </w:tbl>
    <w:p>
      <w:pPr>
        <w:pStyle w:val="22"/>
        <w:adjustRightInd w:val="0"/>
        <w:snapToGrid w:val="0"/>
        <w:spacing w:line="360" w:lineRule="auto"/>
        <w:ind w:firstLine="482"/>
        <w:outlineLvl w:val="0"/>
        <w:rPr>
          <w:rFonts w:eastAsia="宋体"/>
          <w:b/>
          <w:color w:val="auto"/>
          <w:sz w:val="24"/>
        </w:rPr>
      </w:pPr>
      <w:r>
        <w:rPr>
          <w:rFonts w:hint="eastAsia" w:eastAsia="宋体"/>
          <w:b/>
          <w:color w:val="auto"/>
          <w:sz w:val="24"/>
        </w:rPr>
        <w:t>二、募集资金使用情况</w:t>
      </w:r>
    </w:p>
    <w:p>
      <w:pPr>
        <w:pStyle w:val="22"/>
        <w:adjustRightInd w:val="0"/>
        <w:snapToGrid w:val="0"/>
        <w:spacing w:line="360" w:lineRule="auto"/>
        <w:ind w:firstLine="480"/>
        <w:outlineLvl w:val="0"/>
        <w:rPr>
          <w:rFonts w:hint="eastAsia" w:eastAsia="宋体"/>
          <w:bCs/>
          <w:color w:val="auto"/>
          <w:sz w:val="24"/>
        </w:rPr>
      </w:pPr>
    </w:p>
    <w:p>
      <w:pPr>
        <w:pStyle w:val="22"/>
        <w:adjustRightInd w:val="0"/>
        <w:snapToGrid w:val="0"/>
        <w:spacing w:line="360" w:lineRule="auto"/>
        <w:ind w:firstLine="480"/>
        <w:outlineLvl w:val="0"/>
        <w:rPr>
          <w:rFonts w:hint="eastAsia" w:eastAsia="宋体"/>
          <w:bCs/>
          <w:color w:val="auto"/>
          <w:sz w:val="24"/>
        </w:rPr>
      </w:pPr>
      <w:r>
        <w:rPr>
          <w:rFonts w:hint="eastAsia" w:eastAsia="宋体"/>
          <w:bCs/>
          <w:color w:val="auto"/>
          <w:sz w:val="24"/>
        </w:rPr>
        <w:t>2023年度，公司募投项目资金项目支出</w:t>
      </w:r>
      <w:r>
        <w:rPr>
          <w:rFonts w:hint="eastAsia" w:eastAsia="宋体"/>
          <w:bCs/>
          <w:color w:val="auto"/>
          <w:sz w:val="24"/>
        </w:rPr>
        <w:t>8,063.84</w:t>
      </w:r>
      <w:r>
        <w:rPr>
          <w:rFonts w:hint="eastAsia" w:eastAsia="宋体"/>
          <w:bCs/>
          <w:color w:val="auto"/>
          <w:sz w:val="24"/>
        </w:rPr>
        <w:t>万元，利息收入、理财收益扣除手续费净额</w:t>
      </w:r>
      <w:r>
        <w:rPr>
          <w:rFonts w:hint="eastAsia" w:eastAsia="宋体"/>
          <w:bCs/>
          <w:color w:val="auto"/>
          <w:sz w:val="24"/>
        </w:rPr>
        <w:t>928.05</w:t>
      </w:r>
      <w:r>
        <w:rPr>
          <w:rFonts w:hint="eastAsia" w:eastAsia="宋体"/>
          <w:bCs/>
          <w:color w:val="auto"/>
          <w:sz w:val="24"/>
        </w:rPr>
        <w:t>万元，使用闲置募集资金进行现金管理余额</w:t>
      </w:r>
      <w:r>
        <w:rPr>
          <w:rFonts w:hint="eastAsia" w:eastAsia="宋体"/>
          <w:bCs/>
          <w:color w:val="auto"/>
          <w:sz w:val="24"/>
        </w:rPr>
        <w:t>28,900</w:t>
      </w:r>
      <w:r>
        <w:rPr>
          <w:rFonts w:hint="eastAsia" w:eastAsia="宋体"/>
          <w:bCs/>
          <w:color w:val="auto"/>
          <w:sz w:val="24"/>
        </w:rPr>
        <w:t>万元；截至2023年12月31日，本公司累计使用募集资金</w:t>
      </w:r>
      <w:r>
        <w:rPr>
          <w:rFonts w:hint="eastAsia" w:eastAsia="宋体"/>
          <w:bCs/>
          <w:color w:val="auto"/>
          <w:sz w:val="24"/>
        </w:rPr>
        <w:t>270,266.95</w:t>
      </w:r>
      <w:r>
        <w:rPr>
          <w:rFonts w:hint="eastAsia" w:eastAsia="宋体"/>
          <w:bCs/>
          <w:color w:val="auto"/>
          <w:sz w:val="24"/>
        </w:rPr>
        <w:t>万元，2023年12月31日募集资金账户余额</w:t>
      </w:r>
      <w:r>
        <w:rPr>
          <w:rFonts w:hint="eastAsia" w:eastAsia="宋体"/>
          <w:bCs/>
          <w:color w:val="auto"/>
          <w:sz w:val="24"/>
        </w:rPr>
        <w:t>30,299.28</w:t>
      </w:r>
      <w:r>
        <w:rPr>
          <w:rFonts w:hint="eastAsia" w:eastAsia="宋体"/>
          <w:bCs/>
          <w:color w:val="auto"/>
          <w:sz w:val="24"/>
        </w:rPr>
        <w:t>万元（含尚未到期的现金管理产品）。</w:t>
      </w:r>
    </w:p>
    <w:p>
      <w:pPr>
        <w:pStyle w:val="22"/>
        <w:adjustRightInd w:val="0"/>
        <w:snapToGrid w:val="0"/>
        <w:spacing w:line="360" w:lineRule="auto"/>
        <w:ind w:firstLine="482"/>
        <w:outlineLvl w:val="0"/>
        <w:rPr>
          <w:rFonts w:eastAsia="宋体"/>
          <w:b/>
          <w:color w:val="auto"/>
          <w:sz w:val="24"/>
        </w:rPr>
      </w:pPr>
      <w:r>
        <w:rPr>
          <w:rFonts w:hint="eastAsia" w:eastAsia="宋体"/>
          <w:b/>
          <w:color w:val="auto"/>
          <w:sz w:val="24"/>
        </w:rPr>
        <w:t>三</w:t>
      </w:r>
      <w:r>
        <w:rPr>
          <w:rFonts w:eastAsia="宋体"/>
          <w:b/>
          <w:color w:val="auto"/>
          <w:sz w:val="24"/>
        </w:rPr>
        <w:t>、前次使用闲置募集资金</w:t>
      </w:r>
      <w:r>
        <w:rPr>
          <w:rFonts w:hint="eastAsia" w:eastAsia="宋体"/>
          <w:b/>
          <w:color w:val="auto"/>
          <w:sz w:val="24"/>
        </w:rPr>
        <w:t>进行现金管理</w:t>
      </w:r>
      <w:r>
        <w:rPr>
          <w:rFonts w:eastAsia="宋体"/>
          <w:b/>
          <w:color w:val="auto"/>
          <w:sz w:val="24"/>
        </w:rPr>
        <w:t>的情况</w:t>
      </w:r>
    </w:p>
    <w:p>
      <w:pPr>
        <w:adjustRightInd w:val="0"/>
        <w:snapToGrid w:val="0"/>
        <w:spacing w:line="360" w:lineRule="auto"/>
        <w:ind w:firstLine="480" w:firstLineChars="200"/>
        <w:rPr>
          <w:rFonts w:eastAsia="宋体"/>
          <w:color w:val="auto"/>
          <w:sz w:val="24"/>
        </w:rPr>
      </w:pPr>
      <w:r>
        <w:rPr>
          <w:rFonts w:eastAsia="宋体"/>
          <w:color w:val="auto"/>
          <w:sz w:val="24"/>
        </w:rPr>
        <w:t>202</w:t>
      </w:r>
      <w:r>
        <w:rPr>
          <w:rFonts w:hint="eastAsia" w:eastAsia="宋体"/>
          <w:color w:val="auto"/>
          <w:sz w:val="24"/>
        </w:rPr>
        <w:t>3</w:t>
      </w:r>
      <w:r>
        <w:rPr>
          <w:rFonts w:eastAsia="宋体"/>
          <w:color w:val="auto"/>
          <w:sz w:val="24"/>
        </w:rPr>
        <w:t>年4月2</w:t>
      </w:r>
      <w:r>
        <w:rPr>
          <w:rFonts w:hint="eastAsia" w:eastAsia="宋体"/>
          <w:color w:val="auto"/>
          <w:sz w:val="24"/>
        </w:rPr>
        <w:t>5</w:t>
      </w:r>
      <w:r>
        <w:rPr>
          <w:rFonts w:eastAsia="宋体"/>
          <w:color w:val="auto"/>
          <w:sz w:val="24"/>
        </w:rPr>
        <w:t>日召开的第</w:t>
      </w:r>
      <w:r>
        <w:rPr>
          <w:rFonts w:hint="eastAsia" w:eastAsia="宋体"/>
          <w:color w:val="auto"/>
          <w:sz w:val="24"/>
        </w:rPr>
        <w:t>十</w:t>
      </w:r>
      <w:r>
        <w:rPr>
          <w:rFonts w:eastAsia="宋体"/>
          <w:color w:val="auto"/>
          <w:sz w:val="24"/>
        </w:rPr>
        <w:t>届董事会第</w:t>
      </w:r>
      <w:r>
        <w:rPr>
          <w:rFonts w:hint="eastAsia" w:eastAsia="宋体"/>
          <w:color w:val="auto"/>
          <w:sz w:val="24"/>
        </w:rPr>
        <w:t>四</w:t>
      </w:r>
      <w:r>
        <w:rPr>
          <w:rFonts w:eastAsia="宋体"/>
          <w:color w:val="auto"/>
          <w:sz w:val="24"/>
        </w:rPr>
        <w:t>次会议审议通过《</w:t>
      </w:r>
      <w:r>
        <w:rPr>
          <w:rFonts w:hint="eastAsia" w:eastAsia="宋体"/>
          <w:color w:val="auto"/>
          <w:sz w:val="24"/>
        </w:rPr>
        <w:t>关于使用暂时闲置募集资金进行现金管理的议案</w:t>
      </w:r>
      <w:r>
        <w:rPr>
          <w:rFonts w:eastAsia="宋体"/>
          <w:color w:val="auto"/>
          <w:sz w:val="24"/>
        </w:rPr>
        <w:t>》，</w:t>
      </w:r>
      <w:r>
        <w:rPr>
          <w:rFonts w:hint="eastAsia" w:eastAsia="宋体"/>
          <w:color w:val="auto"/>
          <w:sz w:val="24"/>
        </w:rPr>
        <w:t>董事会同意公司继续使用总额不超过28,900万元（含本数）的暂时闲置募集资金进行现金管理，购买期限为自董事会审批通过之日起不超过12个月。</w:t>
      </w:r>
    </w:p>
    <w:p>
      <w:pPr>
        <w:adjustRightInd w:val="0"/>
        <w:snapToGrid w:val="0"/>
        <w:spacing w:line="360" w:lineRule="auto"/>
        <w:ind w:firstLine="480" w:firstLineChars="200"/>
        <w:rPr>
          <w:rFonts w:hint="eastAsia" w:eastAsia="宋体"/>
          <w:color w:val="auto"/>
          <w:sz w:val="24"/>
        </w:rPr>
      </w:pPr>
      <w:r>
        <w:rPr>
          <w:rFonts w:eastAsia="宋体"/>
          <w:color w:val="auto"/>
          <w:sz w:val="24"/>
        </w:rPr>
        <w:t>自前次董事会审批日</w:t>
      </w:r>
      <w:r>
        <w:rPr>
          <w:rFonts w:hint="eastAsia" w:eastAsia="宋体"/>
          <w:color w:val="auto"/>
          <w:sz w:val="24"/>
        </w:rPr>
        <w:t>（</w:t>
      </w:r>
      <w:r>
        <w:rPr>
          <w:rFonts w:eastAsia="宋体"/>
          <w:color w:val="auto"/>
          <w:sz w:val="24"/>
        </w:rPr>
        <w:t>202</w:t>
      </w:r>
      <w:r>
        <w:rPr>
          <w:rFonts w:hint="eastAsia" w:eastAsia="宋体"/>
          <w:color w:val="auto"/>
          <w:sz w:val="24"/>
        </w:rPr>
        <w:t>3</w:t>
      </w:r>
      <w:r>
        <w:rPr>
          <w:rFonts w:eastAsia="宋体"/>
          <w:color w:val="auto"/>
          <w:sz w:val="24"/>
        </w:rPr>
        <w:t>年4月2</w:t>
      </w:r>
      <w:r>
        <w:rPr>
          <w:rFonts w:hint="eastAsia" w:eastAsia="宋体"/>
          <w:color w:val="auto"/>
          <w:sz w:val="24"/>
        </w:rPr>
        <w:t>5</w:t>
      </w:r>
      <w:r>
        <w:rPr>
          <w:rFonts w:eastAsia="宋体"/>
          <w:color w:val="auto"/>
          <w:sz w:val="24"/>
        </w:rPr>
        <w:t>日</w:t>
      </w:r>
      <w:r>
        <w:rPr>
          <w:rFonts w:hint="eastAsia" w:eastAsia="宋体"/>
          <w:color w:val="auto"/>
          <w:sz w:val="24"/>
        </w:rPr>
        <w:t>）</w:t>
      </w:r>
      <w:r>
        <w:rPr>
          <w:rFonts w:eastAsia="宋体"/>
          <w:color w:val="auto"/>
          <w:sz w:val="24"/>
        </w:rPr>
        <w:t>至202</w:t>
      </w:r>
      <w:r>
        <w:rPr>
          <w:rFonts w:hint="eastAsia" w:eastAsia="宋体"/>
          <w:color w:val="auto"/>
          <w:sz w:val="24"/>
        </w:rPr>
        <w:t>4</w:t>
      </w:r>
      <w:r>
        <w:rPr>
          <w:rFonts w:eastAsia="宋体"/>
          <w:color w:val="auto"/>
          <w:sz w:val="24"/>
        </w:rPr>
        <w:t>年3月31日，公司累计购买</w:t>
      </w:r>
      <w:r>
        <w:rPr>
          <w:rFonts w:hint="eastAsia" w:eastAsia="宋体"/>
          <w:color w:val="auto"/>
          <w:sz w:val="24"/>
        </w:rPr>
        <w:t>现金管理</w:t>
      </w:r>
      <w:r>
        <w:rPr>
          <w:rFonts w:eastAsia="宋体"/>
          <w:color w:val="auto"/>
          <w:sz w:val="24"/>
        </w:rPr>
        <w:t>产品119</w:t>
      </w:r>
      <w:r>
        <w:rPr>
          <w:rFonts w:hint="eastAsia" w:eastAsia="宋体"/>
          <w:color w:val="auto"/>
          <w:sz w:val="24"/>
        </w:rPr>
        <w:t>,</w:t>
      </w:r>
      <w:r>
        <w:rPr>
          <w:rFonts w:eastAsia="宋体"/>
          <w:color w:val="auto"/>
          <w:sz w:val="24"/>
        </w:rPr>
        <w:t>350</w:t>
      </w:r>
      <w:r>
        <w:rPr>
          <w:rFonts w:hint="eastAsia" w:eastAsia="宋体"/>
          <w:color w:val="auto"/>
          <w:sz w:val="24"/>
        </w:rPr>
        <w:t>万</w:t>
      </w:r>
      <w:r>
        <w:rPr>
          <w:rFonts w:eastAsia="宋体"/>
          <w:color w:val="auto"/>
          <w:sz w:val="24"/>
        </w:rPr>
        <w:t>元（滚动购买，任一时点产品余额不超过</w:t>
      </w:r>
      <w:r>
        <w:rPr>
          <w:rFonts w:hint="eastAsia" w:eastAsia="宋体"/>
          <w:color w:val="auto"/>
          <w:sz w:val="24"/>
        </w:rPr>
        <w:t>28,900万</w:t>
      </w:r>
      <w:r>
        <w:rPr>
          <w:rFonts w:eastAsia="宋体"/>
          <w:color w:val="auto"/>
          <w:sz w:val="24"/>
        </w:rPr>
        <w:t>元，购买产品类型均满足审批要求），累计获得到账投资收益690.35</w:t>
      </w:r>
      <w:r>
        <w:rPr>
          <w:rFonts w:hint="eastAsia" w:eastAsia="宋体"/>
          <w:color w:val="auto"/>
          <w:sz w:val="24"/>
        </w:rPr>
        <w:t>万</w:t>
      </w:r>
      <w:r>
        <w:rPr>
          <w:rFonts w:eastAsia="宋体"/>
          <w:color w:val="auto"/>
          <w:sz w:val="24"/>
        </w:rPr>
        <w:t>元，截至202</w:t>
      </w:r>
      <w:r>
        <w:rPr>
          <w:rFonts w:hint="eastAsia" w:eastAsia="宋体"/>
          <w:color w:val="auto"/>
          <w:sz w:val="24"/>
        </w:rPr>
        <w:t>4</w:t>
      </w:r>
      <w:r>
        <w:rPr>
          <w:rFonts w:eastAsia="宋体"/>
          <w:color w:val="auto"/>
          <w:sz w:val="24"/>
        </w:rPr>
        <w:t>年3月31日，公司</w:t>
      </w:r>
      <w:r>
        <w:rPr>
          <w:rFonts w:hint="eastAsia" w:eastAsia="宋体"/>
          <w:color w:val="auto"/>
          <w:sz w:val="24"/>
        </w:rPr>
        <w:t>进行现金管理</w:t>
      </w:r>
      <w:r>
        <w:rPr>
          <w:rFonts w:eastAsia="宋体"/>
          <w:color w:val="auto"/>
          <w:sz w:val="24"/>
        </w:rPr>
        <w:t>存量余额24</w:t>
      </w:r>
      <w:r>
        <w:rPr>
          <w:rFonts w:hint="eastAsia" w:eastAsia="宋体"/>
          <w:color w:val="auto"/>
          <w:sz w:val="24"/>
        </w:rPr>
        <w:t>,</w:t>
      </w:r>
      <w:r>
        <w:rPr>
          <w:rFonts w:eastAsia="宋体"/>
          <w:color w:val="auto"/>
          <w:sz w:val="24"/>
        </w:rPr>
        <w:t>600</w:t>
      </w:r>
      <w:r>
        <w:rPr>
          <w:rFonts w:hint="eastAsia" w:eastAsia="宋体"/>
          <w:color w:val="auto"/>
          <w:sz w:val="24"/>
        </w:rPr>
        <w:t>万元</w:t>
      </w:r>
      <w:r>
        <w:rPr>
          <w:rFonts w:eastAsia="宋体"/>
          <w:color w:val="auto"/>
          <w:sz w:val="24"/>
        </w:rPr>
        <w:t>，明细如下</w:t>
      </w:r>
      <w:r>
        <w:rPr>
          <w:rFonts w:hint="eastAsia" w:eastAsia="宋体"/>
          <w:color w:val="auto"/>
          <w:sz w:val="24"/>
        </w:rPr>
        <w:t>：</w:t>
      </w:r>
    </w:p>
    <w:tbl>
      <w:tblPr>
        <w:tblStyle w:val="8"/>
        <w:tblpPr w:leftFromText="180" w:rightFromText="180" w:vertAnchor="text" w:horzAnchor="page" w:tblpX="1876" w:tblpY="291"/>
        <w:tblOverlap w:val="never"/>
        <w:tblW w:w="0" w:type="auto"/>
        <w:tblInd w:w="0" w:type="dxa"/>
        <w:tblLayout w:type="fixed"/>
        <w:tblCellMar>
          <w:top w:w="0" w:type="dxa"/>
          <w:left w:w="108" w:type="dxa"/>
          <w:bottom w:w="0" w:type="dxa"/>
          <w:right w:w="108" w:type="dxa"/>
        </w:tblCellMar>
      </w:tblPr>
      <w:tblGrid>
        <w:gridCol w:w="1069"/>
        <w:gridCol w:w="1897"/>
        <w:gridCol w:w="1075"/>
        <w:gridCol w:w="1074"/>
        <w:gridCol w:w="1124"/>
        <w:gridCol w:w="1071"/>
        <w:gridCol w:w="1075"/>
      </w:tblGrid>
      <w:tr>
        <w:tblPrEx>
          <w:tblCellMar>
            <w:top w:w="0" w:type="dxa"/>
            <w:left w:w="108" w:type="dxa"/>
            <w:bottom w:w="0" w:type="dxa"/>
            <w:right w:w="108" w:type="dxa"/>
          </w:tblCellMar>
        </w:tblPrEx>
        <w:trPr>
          <w:trHeight w:val="90" w:hRule="atLeast"/>
        </w:trPr>
        <w:tc>
          <w:tcPr>
            <w:tcW w:w="106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银行名称</w:t>
            </w:r>
          </w:p>
        </w:tc>
        <w:tc>
          <w:tcPr>
            <w:tcW w:w="1897"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产品</w:t>
            </w:r>
            <w:r>
              <w:rPr>
                <w:rFonts w:eastAsia="宋体"/>
                <w:b/>
                <w:bCs/>
                <w:color w:val="auto"/>
                <w:kern w:val="0"/>
                <w:szCs w:val="21"/>
                <w:lang w:bidi="ar"/>
              </w:rPr>
              <w:t>名称</w:t>
            </w:r>
          </w:p>
        </w:tc>
        <w:tc>
          <w:tcPr>
            <w:tcW w:w="107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jc w:val="center"/>
              <w:textAlignment w:val="center"/>
              <w:rPr>
                <w:rFonts w:eastAsia="宋体"/>
                <w:b/>
                <w:bCs/>
                <w:color w:val="auto"/>
                <w:szCs w:val="21"/>
              </w:rPr>
            </w:pPr>
            <w:r>
              <w:rPr>
                <w:rFonts w:hint="default" w:eastAsia="宋体"/>
                <w:b/>
                <w:bCs/>
                <w:color w:val="auto"/>
                <w:kern w:val="0"/>
                <w:szCs w:val="21"/>
                <w:lang w:bidi="ar"/>
              </w:rPr>
              <w:t>申购金额</w:t>
            </w:r>
            <w:r>
              <w:rPr>
                <w:rFonts w:eastAsia="宋体"/>
                <w:b/>
                <w:bCs/>
                <w:color w:val="auto"/>
                <w:kern w:val="0"/>
                <w:szCs w:val="21"/>
                <w:lang w:bidi="ar"/>
              </w:rPr>
              <w:t>（万元）</w:t>
            </w:r>
          </w:p>
        </w:tc>
        <w:tc>
          <w:tcPr>
            <w:tcW w:w="107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预期年化收益率</w:t>
            </w:r>
          </w:p>
        </w:tc>
        <w:tc>
          <w:tcPr>
            <w:tcW w:w="112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到期日</w:t>
            </w:r>
          </w:p>
        </w:tc>
        <w:tc>
          <w:tcPr>
            <w:tcW w:w="107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jc w:val="center"/>
              <w:textAlignment w:val="center"/>
              <w:rPr>
                <w:rFonts w:eastAsia="宋体"/>
                <w:b/>
                <w:bCs/>
                <w:color w:val="auto"/>
                <w:szCs w:val="21"/>
              </w:rPr>
            </w:pPr>
            <w:r>
              <w:rPr>
                <w:rFonts w:hint="default" w:eastAsia="宋体"/>
                <w:b/>
                <w:bCs/>
                <w:color w:val="auto"/>
                <w:kern w:val="0"/>
                <w:szCs w:val="21"/>
                <w:lang w:bidi="ar"/>
              </w:rPr>
              <w:t>期限</w:t>
            </w:r>
            <w:r>
              <w:rPr>
                <w:rFonts w:eastAsia="宋体"/>
                <w:b/>
                <w:bCs/>
                <w:color w:val="auto"/>
                <w:kern w:val="0"/>
                <w:szCs w:val="21"/>
                <w:lang w:bidi="ar"/>
              </w:rPr>
              <w:t>（</w:t>
            </w:r>
            <w:r>
              <w:rPr>
                <w:rStyle w:val="20"/>
                <w:rFonts w:hint="default" w:ascii="Times New Roman" w:hAnsi="Times New Roman" w:cs="Times New Roman"/>
                <w:color w:val="auto"/>
                <w:lang w:bidi="ar"/>
              </w:rPr>
              <w:t>天</w:t>
            </w:r>
            <w:r>
              <w:rPr>
                <w:rStyle w:val="18"/>
                <w:rFonts w:hint="eastAsia" w:ascii="Times New Roman" w:hAnsi="Times New Roman" w:eastAsia="宋体" w:cs="Times New Roman"/>
                <w:color w:val="auto"/>
                <w:lang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预期收益</w:t>
            </w:r>
            <w:r>
              <w:rPr>
                <w:rFonts w:eastAsia="宋体"/>
                <w:b/>
                <w:bCs/>
                <w:color w:val="auto"/>
                <w:kern w:val="0"/>
                <w:szCs w:val="21"/>
                <w:lang w:bidi="ar"/>
              </w:rPr>
              <w:t>（万元）</w:t>
            </w:r>
          </w:p>
        </w:tc>
      </w:tr>
      <w:tr>
        <w:tblPrEx>
          <w:tblCellMar>
            <w:top w:w="0" w:type="dxa"/>
            <w:left w:w="108" w:type="dxa"/>
            <w:bottom w:w="0" w:type="dxa"/>
            <w:right w:w="108" w:type="dxa"/>
          </w:tblCellMar>
        </w:tblPrEx>
        <w:trPr>
          <w:trHeight w:val="90" w:hRule="atLeast"/>
        </w:trPr>
        <w:tc>
          <w:tcPr>
            <w:tcW w:w="10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eastAsia="宋体"/>
                <w:color w:val="auto"/>
                <w:szCs w:val="21"/>
              </w:rPr>
            </w:pPr>
            <w:r>
              <w:rPr>
                <w:rFonts w:eastAsia="宋体"/>
                <w:color w:val="auto"/>
                <w:kern w:val="0"/>
                <w:szCs w:val="21"/>
                <w:lang w:bidi="ar"/>
              </w:rPr>
              <w:t>上海浦东发展银行</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eastAsia="宋体"/>
                <w:color w:val="auto"/>
                <w:szCs w:val="21"/>
              </w:rPr>
            </w:pPr>
            <w:r>
              <w:rPr>
                <w:rFonts w:eastAsia="宋体"/>
                <w:color w:val="auto"/>
                <w:kern w:val="0"/>
                <w:szCs w:val="21"/>
                <w:lang w:bidi="ar"/>
              </w:rPr>
              <w:t>利多多公司稳利24JG3045期</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color w:val="auto"/>
                <w:szCs w:val="21"/>
              </w:rPr>
            </w:pPr>
            <w:r>
              <w:rPr>
                <w:rFonts w:hint="default" w:eastAsia="宋体"/>
                <w:color w:val="auto"/>
                <w:kern w:val="0"/>
                <w:szCs w:val="21"/>
                <w:lang w:bidi="ar"/>
              </w:rPr>
              <w:t>16,000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color w:val="auto"/>
                <w:szCs w:val="21"/>
              </w:rPr>
            </w:pPr>
            <w:r>
              <w:rPr>
                <w:rFonts w:hint="default" w:eastAsia="宋体"/>
                <w:color w:val="auto"/>
                <w:kern w:val="0"/>
                <w:szCs w:val="21"/>
                <w:lang w:bidi="ar"/>
              </w:rPr>
              <w:t>2.60%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eastAsia="宋体"/>
                <w:color w:val="auto"/>
                <w:szCs w:val="21"/>
              </w:rPr>
            </w:pPr>
            <w:r>
              <w:rPr>
                <w:rFonts w:hint="default" w:eastAsia="宋体"/>
                <w:color w:val="auto"/>
                <w:kern w:val="0"/>
                <w:szCs w:val="21"/>
                <w:lang w:bidi="ar"/>
              </w:rPr>
              <w:t>2024/4/29</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color w:val="auto"/>
                <w:szCs w:val="21"/>
              </w:rPr>
            </w:pPr>
            <w:r>
              <w:rPr>
                <w:rFonts w:hint="default" w:eastAsia="宋体"/>
                <w:color w:val="auto"/>
                <w:kern w:val="0"/>
                <w:szCs w:val="21"/>
                <w:lang w:bidi="ar"/>
              </w:rPr>
              <w:t>90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color w:val="auto"/>
                <w:szCs w:val="21"/>
              </w:rPr>
            </w:pPr>
            <w:r>
              <w:rPr>
                <w:rFonts w:hint="default" w:eastAsia="宋体"/>
                <w:color w:val="auto"/>
                <w:kern w:val="0"/>
                <w:szCs w:val="21"/>
                <w:lang w:bidi="ar"/>
              </w:rPr>
              <w:t>104</w:t>
            </w:r>
            <w:r>
              <w:rPr>
                <w:rFonts w:eastAsia="宋体"/>
                <w:color w:val="auto"/>
                <w:kern w:val="0"/>
                <w:szCs w:val="21"/>
                <w:lang w:bidi="ar"/>
              </w:rPr>
              <w:t>.</w:t>
            </w:r>
            <w:r>
              <w:rPr>
                <w:rFonts w:hint="default" w:eastAsia="宋体"/>
                <w:color w:val="auto"/>
                <w:kern w:val="0"/>
                <w:szCs w:val="21"/>
                <w:lang w:bidi="ar"/>
              </w:rPr>
              <w:t>00</w:t>
            </w:r>
          </w:p>
        </w:tc>
      </w:tr>
      <w:tr>
        <w:tblPrEx>
          <w:tblCellMar>
            <w:top w:w="0" w:type="dxa"/>
            <w:left w:w="108" w:type="dxa"/>
            <w:bottom w:w="0" w:type="dxa"/>
            <w:right w:w="108" w:type="dxa"/>
          </w:tblCellMar>
        </w:tblPrEx>
        <w:trPr>
          <w:trHeight w:val="540" w:hRule="atLeast"/>
        </w:trPr>
        <w:tc>
          <w:tcPr>
            <w:tcW w:w="10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eastAsia="宋体"/>
                <w:color w:val="auto"/>
                <w:szCs w:val="21"/>
              </w:rPr>
            </w:pPr>
            <w:r>
              <w:rPr>
                <w:rFonts w:eastAsia="宋体"/>
                <w:color w:val="auto"/>
                <w:kern w:val="0"/>
                <w:szCs w:val="21"/>
                <w:lang w:bidi="ar"/>
              </w:rPr>
              <w:t>上海浦东发展银行</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eastAsia="宋体"/>
                <w:color w:val="auto"/>
                <w:szCs w:val="21"/>
              </w:rPr>
            </w:pPr>
            <w:r>
              <w:rPr>
                <w:rFonts w:eastAsia="宋体"/>
                <w:color w:val="auto"/>
                <w:kern w:val="0"/>
                <w:szCs w:val="21"/>
                <w:lang w:bidi="ar"/>
              </w:rPr>
              <w:t>利多多公司稳利24JG3127期</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color w:val="auto"/>
                <w:szCs w:val="21"/>
              </w:rPr>
            </w:pPr>
            <w:r>
              <w:rPr>
                <w:rFonts w:hint="default" w:eastAsia="宋体"/>
                <w:color w:val="auto"/>
                <w:kern w:val="0"/>
                <w:szCs w:val="21"/>
                <w:lang w:bidi="ar"/>
              </w:rPr>
              <w:t>8,600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color w:val="auto"/>
                <w:szCs w:val="21"/>
              </w:rPr>
            </w:pPr>
            <w:r>
              <w:rPr>
                <w:rFonts w:hint="default" w:eastAsia="宋体"/>
                <w:color w:val="auto"/>
                <w:kern w:val="0"/>
                <w:szCs w:val="21"/>
                <w:lang w:bidi="ar"/>
              </w:rPr>
              <w:t>2.55%</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eastAsia="宋体"/>
                <w:color w:val="auto"/>
                <w:szCs w:val="21"/>
              </w:rPr>
            </w:pPr>
            <w:r>
              <w:rPr>
                <w:rFonts w:hint="default" w:eastAsia="宋体"/>
                <w:color w:val="auto"/>
                <w:kern w:val="0"/>
                <w:szCs w:val="21"/>
                <w:lang w:bidi="ar"/>
              </w:rPr>
              <w:t>2024/6/11</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color w:val="auto"/>
                <w:szCs w:val="21"/>
              </w:rPr>
            </w:pPr>
            <w:r>
              <w:rPr>
                <w:rFonts w:hint="default" w:eastAsia="宋体"/>
                <w:color w:val="auto"/>
                <w:kern w:val="0"/>
                <w:szCs w:val="21"/>
                <w:lang w:bidi="ar"/>
              </w:rPr>
              <w:t>90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eastAsia="宋体"/>
                <w:color w:val="auto"/>
                <w:szCs w:val="21"/>
              </w:rPr>
            </w:pPr>
            <w:r>
              <w:rPr>
                <w:rFonts w:hint="default" w:eastAsia="宋体"/>
                <w:color w:val="auto"/>
                <w:kern w:val="0"/>
                <w:szCs w:val="21"/>
                <w:lang w:bidi="ar"/>
              </w:rPr>
              <w:t>54</w:t>
            </w:r>
            <w:r>
              <w:rPr>
                <w:rFonts w:eastAsia="宋体"/>
                <w:color w:val="auto"/>
                <w:kern w:val="0"/>
                <w:szCs w:val="21"/>
                <w:lang w:bidi="ar"/>
              </w:rPr>
              <w:t>.</w:t>
            </w:r>
            <w:r>
              <w:rPr>
                <w:rFonts w:hint="default" w:eastAsia="宋体"/>
                <w:color w:val="auto"/>
                <w:kern w:val="0"/>
                <w:szCs w:val="21"/>
                <w:lang w:bidi="ar"/>
              </w:rPr>
              <w:t>82</w:t>
            </w:r>
          </w:p>
        </w:tc>
      </w:tr>
      <w:tr>
        <w:tblPrEx>
          <w:tblCellMar>
            <w:top w:w="0" w:type="dxa"/>
            <w:left w:w="108" w:type="dxa"/>
            <w:bottom w:w="0" w:type="dxa"/>
            <w:right w:w="108" w:type="dxa"/>
          </w:tblCellMar>
        </w:tblPrEx>
        <w:trPr>
          <w:trHeight w:val="285" w:hRule="atLeast"/>
        </w:trPr>
        <w:tc>
          <w:tcPr>
            <w:tcW w:w="2966"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合计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b/>
                <w:bCs/>
                <w:color w:val="auto"/>
                <w:szCs w:val="21"/>
              </w:rPr>
            </w:pPr>
            <w:r>
              <w:rPr>
                <w:rFonts w:hint="default" w:eastAsia="宋体"/>
                <w:b/>
                <w:bCs/>
                <w:color w:val="auto"/>
                <w:kern w:val="0"/>
                <w:szCs w:val="21"/>
                <w:lang w:bidi="ar"/>
              </w:rPr>
              <w:t>2</w:t>
            </w:r>
            <w:r>
              <w:rPr>
                <w:rFonts w:hint="default" w:eastAsia="宋体"/>
                <w:b/>
                <w:bCs/>
                <w:color w:val="auto"/>
                <w:kern w:val="0"/>
                <w:szCs w:val="21"/>
                <w:lang w:bidi="ar"/>
              </w:rPr>
              <w:t>4</w:t>
            </w:r>
            <w:r>
              <w:rPr>
                <w:rFonts w:eastAsia="宋体"/>
                <w:b/>
                <w:bCs/>
                <w:color w:val="auto"/>
                <w:kern w:val="0"/>
                <w:szCs w:val="21"/>
                <w:lang w:bidi="ar"/>
              </w:rPr>
              <w:t>,</w:t>
            </w:r>
            <w:r>
              <w:rPr>
                <w:rFonts w:hint="default" w:eastAsia="宋体"/>
                <w:b/>
                <w:bCs/>
                <w:color w:val="auto"/>
                <w:kern w:val="0"/>
                <w:szCs w:val="21"/>
                <w:lang w:bidi="ar"/>
              </w:rPr>
              <w:t>6</w:t>
            </w:r>
            <w:r>
              <w:rPr>
                <w:rFonts w:hint="default" w:eastAsia="宋体"/>
                <w:b/>
                <w:bCs/>
                <w:color w:val="auto"/>
                <w:kern w:val="0"/>
                <w:szCs w:val="21"/>
                <w:lang w:bidi="ar"/>
              </w:rPr>
              <w:t>00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b/>
                <w:bCs/>
                <w:color w:val="auto"/>
                <w:szCs w:val="21"/>
              </w:rPr>
            </w:pPr>
            <w:r>
              <w:rPr>
                <w:rFonts w:hint="default" w:eastAsia="宋体"/>
                <w:b/>
                <w:bCs/>
                <w:color w:val="auto"/>
                <w:kern w:val="0"/>
                <w:szCs w:val="21"/>
                <w:lang w:bidi="ar"/>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eastAsia="宋体"/>
                <w:b/>
                <w:bCs/>
                <w:color w:val="auto"/>
                <w:szCs w:val="21"/>
              </w:rPr>
            </w:pPr>
            <w:r>
              <w:rPr>
                <w:rFonts w:hint="default" w:eastAsia="宋体"/>
                <w:b/>
                <w:bCs/>
                <w:color w:val="auto"/>
                <w:kern w:val="0"/>
                <w:szCs w:val="21"/>
                <w:lang w:bidi="ar"/>
              </w:rPr>
              <w:t>158</w:t>
            </w:r>
            <w:r>
              <w:rPr>
                <w:rFonts w:eastAsia="宋体"/>
                <w:b/>
                <w:bCs/>
                <w:color w:val="auto"/>
                <w:kern w:val="0"/>
                <w:szCs w:val="21"/>
                <w:lang w:bidi="ar"/>
              </w:rPr>
              <w:t>.</w:t>
            </w:r>
            <w:r>
              <w:rPr>
                <w:rFonts w:hint="default" w:eastAsia="宋体"/>
                <w:b/>
                <w:bCs/>
                <w:color w:val="auto"/>
                <w:kern w:val="0"/>
                <w:szCs w:val="21"/>
                <w:lang w:bidi="ar"/>
              </w:rPr>
              <w:t>82</w:t>
            </w:r>
          </w:p>
        </w:tc>
      </w:tr>
    </w:tbl>
    <w:p>
      <w:pPr>
        <w:pStyle w:val="22"/>
        <w:adjustRightInd w:val="0"/>
        <w:snapToGrid w:val="0"/>
        <w:spacing w:before="156" w:beforeLines="50" w:line="360" w:lineRule="auto"/>
        <w:ind w:firstLine="482"/>
        <w:outlineLvl w:val="0"/>
        <w:rPr>
          <w:rFonts w:eastAsia="宋体"/>
          <w:b/>
          <w:color w:val="auto"/>
          <w:sz w:val="24"/>
        </w:rPr>
      </w:pPr>
      <w:r>
        <w:rPr>
          <w:rFonts w:hint="eastAsia" w:eastAsia="宋体"/>
          <w:b/>
          <w:color w:val="auto"/>
          <w:sz w:val="24"/>
        </w:rPr>
        <w:t>四</w:t>
      </w:r>
      <w:r>
        <w:rPr>
          <w:rFonts w:eastAsia="宋体"/>
          <w:b/>
          <w:color w:val="auto"/>
          <w:sz w:val="24"/>
        </w:rPr>
        <w:t>、本次使用闲置募集资金</w:t>
      </w:r>
      <w:r>
        <w:rPr>
          <w:rFonts w:hint="eastAsia" w:eastAsia="宋体"/>
          <w:b/>
          <w:color w:val="auto"/>
          <w:sz w:val="24"/>
        </w:rPr>
        <w:t>进行现金管理</w:t>
      </w:r>
      <w:r>
        <w:rPr>
          <w:rFonts w:eastAsia="宋体"/>
          <w:b/>
          <w:color w:val="auto"/>
          <w:sz w:val="24"/>
        </w:rPr>
        <w:t>的基本情况</w:t>
      </w:r>
    </w:p>
    <w:p>
      <w:pPr>
        <w:pStyle w:val="22"/>
        <w:adjustRightInd w:val="0"/>
        <w:snapToGrid w:val="0"/>
        <w:spacing w:line="360" w:lineRule="auto"/>
        <w:ind w:firstLine="480"/>
        <w:outlineLvl w:val="0"/>
        <w:rPr>
          <w:rFonts w:eastAsia="宋体"/>
          <w:color w:val="auto"/>
          <w:sz w:val="24"/>
          <w:szCs w:val="24"/>
        </w:rPr>
      </w:pPr>
      <w:r>
        <w:rPr>
          <w:rFonts w:hint="eastAsia" w:eastAsia="宋体"/>
          <w:color w:val="auto"/>
          <w:sz w:val="24"/>
          <w:szCs w:val="24"/>
        </w:rPr>
        <w:t>募集资金投资项目“10万吨高聚物材料新建项目”总投资估算为36,944.36万元，其中建设投资32,317.28万元，铺底流动资金4,627.08万元。截至本公告披露日</w:t>
      </w:r>
      <w:r>
        <w:rPr>
          <w:rFonts w:hint="eastAsia" w:eastAsia="宋体"/>
          <w:color w:val="auto"/>
          <w:sz w:val="24"/>
          <w:szCs w:val="24"/>
          <w:lang w:eastAsia="zh-CN"/>
        </w:rPr>
        <w:t>，</w:t>
      </w:r>
      <w:r>
        <w:rPr>
          <w:rFonts w:hint="eastAsia" w:eastAsia="宋体"/>
          <w:color w:val="auto"/>
          <w:sz w:val="24"/>
          <w:szCs w:val="24"/>
        </w:rPr>
        <w:t>项目建筑工程已完工，正在办理验收，部分工艺设备正在进场安装，预计2024年8月31日达到试生产状态。</w:t>
      </w:r>
      <w:r>
        <w:rPr>
          <w:rFonts w:eastAsia="宋体"/>
          <w:color w:val="auto"/>
          <w:sz w:val="24"/>
          <w:szCs w:val="24"/>
        </w:rPr>
        <w:t>截至202</w:t>
      </w:r>
      <w:r>
        <w:rPr>
          <w:rFonts w:hint="eastAsia" w:eastAsia="宋体"/>
          <w:color w:val="auto"/>
          <w:sz w:val="24"/>
          <w:szCs w:val="24"/>
        </w:rPr>
        <w:t>3</w:t>
      </w:r>
      <w:r>
        <w:rPr>
          <w:rFonts w:eastAsia="宋体"/>
          <w:color w:val="auto"/>
          <w:sz w:val="24"/>
          <w:szCs w:val="24"/>
        </w:rPr>
        <w:t>年12月31日</w:t>
      </w:r>
      <w:r>
        <w:rPr>
          <w:rFonts w:hint="eastAsia" w:eastAsia="宋体"/>
          <w:color w:val="auto"/>
          <w:sz w:val="24"/>
          <w:szCs w:val="24"/>
        </w:rPr>
        <w:t>该项目</w:t>
      </w:r>
      <w:r>
        <w:rPr>
          <w:rFonts w:eastAsia="宋体"/>
          <w:color w:val="auto"/>
          <w:sz w:val="24"/>
          <w:szCs w:val="24"/>
        </w:rPr>
        <w:t>募集资金余额（含</w:t>
      </w:r>
      <w:r>
        <w:rPr>
          <w:rFonts w:hint="eastAsia" w:eastAsia="宋体"/>
          <w:color w:val="auto"/>
          <w:sz w:val="24"/>
          <w:szCs w:val="24"/>
        </w:rPr>
        <w:t>现金管理产品</w:t>
      </w:r>
      <w:r>
        <w:rPr>
          <w:rFonts w:eastAsia="宋体"/>
          <w:color w:val="auto"/>
          <w:sz w:val="24"/>
          <w:szCs w:val="24"/>
        </w:rPr>
        <w:t>）</w:t>
      </w:r>
      <w:r>
        <w:rPr>
          <w:rFonts w:hint="eastAsia" w:eastAsia="宋体"/>
          <w:color w:val="auto"/>
          <w:sz w:val="24"/>
          <w:szCs w:val="24"/>
        </w:rPr>
        <w:t>为</w:t>
      </w:r>
      <w:r>
        <w:rPr>
          <w:rFonts w:eastAsia="宋体"/>
          <w:bCs/>
          <w:color w:val="auto"/>
          <w:sz w:val="24"/>
        </w:rPr>
        <w:t>30</w:t>
      </w:r>
      <w:r>
        <w:rPr>
          <w:rFonts w:hint="eastAsia" w:eastAsia="宋体"/>
          <w:bCs/>
          <w:color w:val="auto"/>
          <w:sz w:val="24"/>
        </w:rPr>
        <w:t>,</w:t>
      </w:r>
      <w:r>
        <w:rPr>
          <w:rFonts w:eastAsia="宋体"/>
          <w:bCs/>
          <w:color w:val="auto"/>
          <w:sz w:val="24"/>
        </w:rPr>
        <w:t>299</w:t>
      </w:r>
      <w:r>
        <w:rPr>
          <w:rFonts w:hint="eastAsia" w:eastAsia="宋体"/>
          <w:bCs/>
          <w:color w:val="auto"/>
          <w:sz w:val="24"/>
        </w:rPr>
        <w:t>.</w:t>
      </w:r>
      <w:r>
        <w:rPr>
          <w:rFonts w:eastAsia="宋体"/>
          <w:bCs/>
          <w:color w:val="auto"/>
          <w:sz w:val="24"/>
        </w:rPr>
        <w:t>28</w:t>
      </w:r>
      <w:r>
        <w:rPr>
          <w:rFonts w:hint="eastAsia" w:eastAsia="宋体"/>
          <w:color w:val="auto"/>
          <w:sz w:val="24"/>
          <w:szCs w:val="24"/>
        </w:rPr>
        <w:t>万元。</w:t>
      </w:r>
    </w:p>
    <w:p>
      <w:pPr>
        <w:pStyle w:val="22"/>
        <w:adjustRightInd w:val="0"/>
        <w:snapToGrid w:val="0"/>
        <w:ind w:firstLine="360"/>
        <w:jc w:val="right"/>
        <w:outlineLvl w:val="0"/>
        <w:rPr>
          <w:rFonts w:eastAsia="宋体"/>
          <w:color w:val="auto"/>
          <w:sz w:val="18"/>
          <w:szCs w:val="18"/>
        </w:rPr>
      </w:pPr>
      <w:r>
        <w:rPr>
          <w:rFonts w:hint="eastAsia" w:eastAsia="宋体"/>
          <w:color w:val="auto"/>
          <w:sz w:val="18"/>
          <w:szCs w:val="18"/>
        </w:rPr>
        <w:t>单位：万元</w:t>
      </w:r>
    </w:p>
    <w:tbl>
      <w:tblPr>
        <w:tblStyle w:val="8"/>
        <w:tblW w:w="0" w:type="auto"/>
        <w:jc w:val="right"/>
        <w:tblLayout w:type="fixed"/>
        <w:tblCellMar>
          <w:top w:w="0" w:type="dxa"/>
          <w:left w:w="28" w:type="dxa"/>
          <w:bottom w:w="0" w:type="dxa"/>
          <w:right w:w="28" w:type="dxa"/>
        </w:tblCellMar>
      </w:tblPr>
      <w:tblGrid>
        <w:gridCol w:w="2891"/>
        <w:gridCol w:w="1206"/>
        <w:gridCol w:w="1500"/>
        <w:gridCol w:w="2695"/>
      </w:tblGrid>
      <w:tr>
        <w:tblPrEx>
          <w:tblCellMar>
            <w:top w:w="0" w:type="dxa"/>
            <w:left w:w="28" w:type="dxa"/>
            <w:bottom w:w="0" w:type="dxa"/>
            <w:right w:w="28" w:type="dxa"/>
          </w:tblCellMar>
        </w:tblPrEx>
        <w:trPr>
          <w:trHeight w:val="717" w:hRule="atLeast"/>
          <w:jc w:val="right"/>
        </w:trPr>
        <w:tc>
          <w:tcPr>
            <w:tcW w:w="2891" w:type="dxa"/>
            <w:tcBorders>
              <w:top w:val="single" w:color="auto" w:sz="4" w:space="0"/>
              <w:left w:val="single" w:color="auto" w:sz="4" w:space="0"/>
              <w:bottom w:val="single" w:color="auto" w:sz="4" w:space="0"/>
              <w:right w:val="single" w:color="auto" w:sz="4" w:space="0"/>
            </w:tcBorders>
            <w:shd w:val="clear" w:color="auto" w:fill="DCDCDC"/>
            <w:noWrap w:val="0"/>
            <w:vAlign w:val="center"/>
          </w:tcPr>
          <w:p>
            <w:pPr>
              <w:snapToGrid w:val="0"/>
              <w:spacing w:line="200" w:lineRule="atLeast"/>
              <w:ind w:left="-10" w:leftChars="-5" w:right="-10" w:rightChars="-5"/>
              <w:jc w:val="center"/>
              <w:rPr>
                <w:rFonts w:hint="default" w:eastAsia="宋体"/>
                <w:color w:val="auto"/>
                <w:szCs w:val="21"/>
              </w:rPr>
            </w:pPr>
            <w:r>
              <w:rPr>
                <w:rFonts w:hint="default" w:eastAsia="宋体"/>
                <w:color w:val="auto"/>
                <w:szCs w:val="21"/>
              </w:rPr>
              <w:t>承诺投资项目</w:t>
            </w:r>
          </w:p>
        </w:tc>
        <w:tc>
          <w:tcPr>
            <w:tcW w:w="1206" w:type="dxa"/>
            <w:tcBorders>
              <w:top w:val="single" w:color="auto" w:sz="4" w:space="0"/>
              <w:left w:val="single" w:color="auto" w:sz="4" w:space="0"/>
              <w:bottom w:val="single" w:color="auto" w:sz="4" w:space="0"/>
              <w:right w:val="single" w:color="auto" w:sz="4" w:space="0"/>
            </w:tcBorders>
            <w:shd w:val="clear" w:color="auto" w:fill="DCDCDC"/>
            <w:noWrap w:val="0"/>
            <w:vAlign w:val="center"/>
          </w:tcPr>
          <w:p>
            <w:pPr>
              <w:snapToGrid w:val="0"/>
              <w:spacing w:line="200" w:lineRule="atLeast"/>
              <w:ind w:left="-10" w:leftChars="-5" w:right="-10" w:rightChars="-5"/>
              <w:jc w:val="center"/>
              <w:rPr>
                <w:rFonts w:hint="default" w:eastAsia="宋体"/>
                <w:color w:val="auto"/>
                <w:szCs w:val="21"/>
              </w:rPr>
            </w:pPr>
            <w:r>
              <w:rPr>
                <w:rFonts w:hint="default" w:eastAsia="宋体"/>
                <w:color w:val="auto"/>
                <w:szCs w:val="21"/>
              </w:rPr>
              <w:t>募集资金承诺投资总额</w:t>
            </w:r>
          </w:p>
        </w:tc>
        <w:tc>
          <w:tcPr>
            <w:tcW w:w="1500" w:type="dxa"/>
            <w:tcBorders>
              <w:top w:val="single" w:color="auto" w:sz="4" w:space="0"/>
              <w:left w:val="single" w:color="auto" w:sz="4" w:space="0"/>
              <w:bottom w:val="single" w:color="auto" w:sz="4" w:space="0"/>
              <w:right w:val="single" w:color="auto" w:sz="4" w:space="0"/>
            </w:tcBorders>
            <w:shd w:val="clear" w:color="auto" w:fill="DCDCDC"/>
            <w:noWrap w:val="0"/>
            <w:vAlign w:val="center"/>
          </w:tcPr>
          <w:p>
            <w:pPr>
              <w:snapToGrid w:val="0"/>
              <w:spacing w:line="200" w:lineRule="atLeast"/>
              <w:ind w:left="-10" w:leftChars="-5" w:right="-10" w:rightChars="-5"/>
              <w:jc w:val="center"/>
              <w:rPr>
                <w:rFonts w:hint="default" w:eastAsia="宋体"/>
                <w:color w:val="auto"/>
                <w:szCs w:val="21"/>
              </w:rPr>
            </w:pPr>
            <w:r>
              <w:rPr>
                <w:rFonts w:hint="default" w:eastAsia="宋体"/>
                <w:color w:val="auto"/>
                <w:szCs w:val="21"/>
              </w:rPr>
              <w:t>截至202</w:t>
            </w:r>
            <w:r>
              <w:rPr>
                <w:rFonts w:eastAsia="宋体"/>
                <w:color w:val="auto"/>
                <w:szCs w:val="21"/>
              </w:rPr>
              <w:t>3</w:t>
            </w:r>
            <w:r>
              <w:rPr>
                <w:rFonts w:hint="default" w:eastAsia="宋体"/>
                <w:color w:val="auto"/>
                <w:szCs w:val="21"/>
              </w:rPr>
              <w:t>年12月31日累计投入金额</w:t>
            </w:r>
          </w:p>
        </w:tc>
        <w:tc>
          <w:tcPr>
            <w:tcW w:w="2695" w:type="dxa"/>
            <w:tcBorders>
              <w:top w:val="single" w:color="auto" w:sz="4" w:space="0"/>
              <w:left w:val="single" w:color="auto" w:sz="4" w:space="0"/>
              <w:bottom w:val="single" w:color="auto" w:sz="4" w:space="0"/>
              <w:right w:val="single" w:color="auto" w:sz="4" w:space="0"/>
            </w:tcBorders>
            <w:shd w:val="clear" w:color="auto" w:fill="DCDCDC"/>
            <w:noWrap w:val="0"/>
            <w:vAlign w:val="center"/>
          </w:tcPr>
          <w:p>
            <w:pPr>
              <w:snapToGrid w:val="0"/>
              <w:spacing w:line="200" w:lineRule="atLeast"/>
              <w:ind w:left="-10" w:leftChars="-5" w:right="-10" w:rightChars="-5"/>
              <w:jc w:val="center"/>
              <w:rPr>
                <w:rFonts w:hint="default" w:eastAsia="宋体"/>
                <w:color w:val="auto"/>
                <w:szCs w:val="21"/>
              </w:rPr>
            </w:pPr>
            <w:r>
              <w:rPr>
                <w:rFonts w:hint="default" w:eastAsia="宋体"/>
                <w:color w:val="auto"/>
                <w:szCs w:val="21"/>
              </w:rPr>
              <w:t>截至202</w:t>
            </w:r>
            <w:r>
              <w:rPr>
                <w:rFonts w:eastAsia="宋体"/>
                <w:color w:val="auto"/>
                <w:szCs w:val="21"/>
              </w:rPr>
              <w:t>3</w:t>
            </w:r>
            <w:r>
              <w:rPr>
                <w:rFonts w:hint="default" w:eastAsia="宋体"/>
                <w:color w:val="auto"/>
                <w:szCs w:val="21"/>
              </w:rPr>
              <w:t>年12月31日募集资金余额（含</w:t>
            </w:r>
            <w:r>
              <w:rPr>
                <w:rFonts w:eastAsia="宋体"/>
                <w:color w:val="auto"/>
                <w:szCs w:val="21"/>
              </w:rPr>
              <w:t>现金管理产品</w:t>
            </w:r>
            <w:r>
              <w:rPr>
                <w:rFonts w:hint="default" w:eastAsia="宋体"/>
                <w:color w:val="auto"/>
                <w:szCs w:val="21"/>
              </w:rPr>
              <w:t>）</w:t>
            </w:r>
          </w:p>
        </w:tc>
      </w:tr>
      <w:tr>
        <w:tblPrEx>
          <w:tblCellMar>
            <w:top w:w="0" w:type="dxa"/>
            <w:left w:w="28" w:type="dxa"/>
            <w:bottom w:w="0" w:type="dxa"/>
            <w:right w:w="28" w:type="dxa"/>
          </w:tblCellMar>
        </w:tblPrEx>
        <w:trPr>
          <w:trHeight w:val="421" w:hRule="atLeast"/>
          <w:jc w:val="right"/>
        </w:trPr>
        <w:tc>
          <w:tcPr>
            <w:tcW w:w="28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atLeast"/>
              <w:ind w:left="-10" w:leftChars="-5" w:right="-10" w:rightChars="-5"/>
              <w:jc w:val="center"/>
              <w:rPr>
                <w:rFonts w:hint="default" w:eastAsia="宋体"/>
                <w:color w:val="auto"/>
                <w:szCs w:val="21"/>
              </w:rPr>
            </w:pPr>
            <w:r>
              <w:rPr>
                <w:rFonts w:hint="default" w:eastAsia="宋体"/>
                <w:color w:val="auto"/>
                <w:kern w:val="0"/>
                <w:szCs w:val="21"/>
              </w:rPr>
              <w:t>10万吨高聚物材料新建项目</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before="0" w:beforeAutospacing="0" w:after="0" w:afterAutospacing="0" w:line="200" w:lineRule="atLeast"/>
              <w:jc w:val="right"/>
              <w:textAlignment w:val="center"/>
              <w:rPr>
                <w:rFonts w:hint="default" w:ascii="Times New Roman" w:hAnsi="Times New Roman" w:eastAsia="宋体" w:cs="Times New Roman"/>
                <w:color w:val="auto"/>
                <w:sz w:val="21"/>
                <w:szCs w:val="21"/>
              </w:rPr>
            </w:pPr>
            <w:r>
              <w:rPr>
                <w:rFonts w:ascii="Times New Roman" w:hAnsi="Times New Roman" w:eastAsia="宋体" w:cs="Times New Roman"/>
                <w:color w:val="auto"/>
                <w:kern w:val="24"/>
                <w:sz w:val="21"/>
                <w:szCs w:val="21"/>
              </w:rPr>
              <w:t>36,944.36</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before="0" w:beforeAutospacing="0" w:after="0" w:afterAutospacing="0" w:line="200" w:lineRule="atLeast"/>
              <w:jc w:val="right"/>
              <w:textAlignment w:val="center"/>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 xml:space="preserve">11,450.22 </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color w:val="auto"/>
                <w:kern w:val="24"/>
                <w:szCs w:val="21"/>
              </w:rPr>
            </w:pPr>
            <w:r>
              <w:rPr>
                <w:rFonts w:hint="default" w:eastAsia="宋体"/>
                <w:color w:val="auto"/>
                <w:kern w:val="24"/>
                <w:szCs w:val="21"/>
              </w:rPr>
              <w:t>30</w:t>
            </w:r>
            <w:r>
              <w:rPr>
                <w:rFonts w:eastAsia="宋体"/>
                <w:color w:val="auto"/>
                <w:kern w:val="24"/>
                <w:szCs w:val="21"/>
              </w:rPr>
              <w:t>,</w:t>
            </w:r>
            <w:r>
              <w:rPr>
                <w:rFonts w:hint="default" w:eastAsia="宋体"/>
                <w:color w:val="auto"/>
                <w:kern w:val="24"/>
                <w:szCs w:val="21"/>
              </w:rPr>
              <w:t>299</w:t>
            </w:r>
            <w:r>
              <w:rPr>
                <w:rFonts w:eastAsia="宋体"/>
                <w:color w:val="auto"/>
                <w:kern w:val="24"/>
                <w:szCs w:val="21"/>
              </w:rPr>
              <w:t>.</w:t>
            </w:r>
            <w:r>
              <w:rPr>
                <w:rFonts w:hint="default" w:eastAsia="宋体"/>
                <w:color w:val="auto"/>
                <w:kern w:val="24"/>
                <w:szCs w:val="21"/>
              </w:rPr>
              <w:t>28</w:t>
            </w:r>
            <w:r>
              <w:rPr>
                <w:rFonts w:eastAsia="宋体"/>
                <w:color w:val="auto"/>
                <w:kern w:val="24"/>
                <w:szCs w:val="21"/>
              </w:rPr>
              <w:t xml:space="preserve"> </w:t>
            </w:r>
          </w:p>
        </w:tc>
      </w:tr>
    </w:tbl>
    <w:p>
      <w:pPr>
        <w:pStyle w:val="22"/>
        <w:adjustRightInd w:val="0"/>
        <w:snapToGrid w:val="0"/>
        <w:spacing w:line="360" w:lineRule="auto"/>
        <w:ind w:firstLine="480"/>
        <w:outlineLvl w:val="0"/>
        <w:rPr>
          <w:rFonts w:eastAsia="宋体"/>
          <w:color w:val="auto"/>
          <w:sz w:val="24"/>
          <w:szCs w:val="24"/>
        </w:rPr>
      </w:pPr>
      <w:r>
        <w:rPr>
          <w:rFonts w:hint="eastAsia" w:eastAsia="宋体"/>
          <w:color w:val="auto"/>
          <w:sz w:val="24"/>
          <w:szCs w:val="24"/>
        </w:rPr>
        <w:t>募集资金是根据项目建设进展情况逐步投入的，因此</w:t>
      </w:r>
      <w:r>
        <w:rPr>
          <w:rFonts w:eastAsia="宋体"/>
          <w:color w:val="auto"/>
          <w:sz w:val="24"/>
          <w:szCs w:val="24"/>
        </w:rPr>
        <w:t>预计在未来一段时间内，</w:t>
      </w:r>
      <w:r>
        <w:rPr>
          <w:rFonts w:hint="eastAsia" w:eastAsia="宋体"/>
          <w:color w:val="auto"/>
          <w:sz w:val="24"/>
          <w:szCs w:val="24"/>
        </w:rPr>
        <w:t>本项目仍</w:t>
      </w:r>
      <w:r>
        <w:rPr>
          <w:rFonts w:eastAsia="宋体"/>
          <w:color w:val="auto"/>
          <w:sz w:val="24"/>
          <w:szCs w:val="24"/>
        </w:rPr>
        <w:t>会存在部分暂时闲置的资金。本着股东利益最大化的原则，为了支持公司经营和业务发展，提高募集资金的使用效益，</w:t>
      </w:r>
      <w:r>
        <w:rPr>
          <w:rFonts w:hint="eastAsia" w:eastAsia="宋体"/>
          <w:color w:val="auto"/>
          <w:sz w:val="24"/>
          <w:szCs w:val="24"/>
        </w:rPr>
        <w:t>公司拟继续使用总额不超过24,600万元（含）的闲置募集资金进行现金管理</w:t>
      </w:r>
      <w:r>
        <w:rPr>
          <w:rFonts w:eastAsia="宋体"/>
          <w:color w:val="auto"/>
          <w:sz w:val="24"/>
          <w:szCs w:val="24"/>
        </w:rPr>
        <w:t>，购买期限为自董事会审批通过之日起不超过12个月，具体情况如下：</w:t>
      </w:r>
    </w:p>
    <w:p>
      <w:pPr>
        <w:pStyle w:val="22"/>
        <w:adjustRightInd w:val="0"/>
        <w:snapToGrid w:val="0"/>
        <w:spacing w:line="360" w:lineRule="auto"/>
        <w:ind w:firstLine="480"/>
        <w:outlineLvl w:val="0"/>
        <w:rPr>
          <w:rFonts w:hint="eastAsia" w:eastAsia="宋体"/>
          <w:color w:val="auto"/>
          <w:sz w:val="24"/>
          <w:szCs w:val="24"/>
        </w:rPr>
      </w:pPr>
      <w:r>
        <w:rPr>
          <w:rFonts w:hint="eastAsia" w:eastAsia="宋体"/>
          <w:color w:val="auto"/>
          <w:sz w:val="24"/>
          <w:szCs w:val="24"/>
        </w:rPr>
        <w:t>1、现金管理产品类型</w:t>
      </w:r>
    </w:p>
    <w:p>
      <w:pPr>
        <w:pStyle w:val="22"/>
        <w:adjustRightInd w:val="0"/>
        <w:snapToGrid w:val="0"/>
        <w:spacing w:line="360" w:lineRule="auto"/>
        <w:ind w:firstLine="480"/>
        <w:outlineLvl w:val="0"/>
        <w:rPr>
          <w:rFonts w:hint="eastAsia" w:eastAsia="宋体"/>
          <w:color w:val="auto"/>
          <w:sz w:val="24"/>
          <w:szCs w:val="24"/>
        </w:rPr>
      </w:pPr>
      <w:r>
        <w:rPr>
          <w:rFonts w:hint="eastAsia" w:eastAsia="宋体"/>
          <w:color w:val="auto"/>
          <w:sz w:val="24"/>
          <w:szCs w:val="24"/>
        </w:rPr>
        <w:t>安全性高、流动性好、期限不超过12个月的现金管理类产品（包括但不限于结构性存款、定期存款、通知存款等）。</w:t>
      </w:r>
    </w:p>
    <w:p>
      <w:pPr>
        <w:pStyle w:val="22"/>
        <w:adjustRightInd w:val="0"/>
        <w:snapToGrid w:val="0"/>
        <w:spacing w:line="360" w:lineRule="auto"/>
        <w:ind w:firstLine="480"/>
        <w:outlineLvl w:val="0"/>
        <w:rPr>
          <w:rFonts w:hint="eastAsia" w:eastAsia="宋体"/>
          <w:color w:val="auto"/>
          <w:sz w:val="24"/>
          <w:szCs w:val="24"/>
        </w:rPr>
      </w:pPr>
      <w:r>
        <w:rPr>
          <w:rFonts w:hint="eastAsia" w:eastAsia="宋体"/>
          <w:color w:val="auto"/>
          <w:sz w:val="24"/>
          <w:szCs w:val="24"/>
        </w:rPr>
        <w:t>2、购买额度</w:t>
      </w:r>
    </w:p>
    <w:p>
      <w:pPr>
        <w:pStyle w:val="22"/>
        <w:adjustRightInd w:val="0"/>
        <w:snapToGrid w:val="0"/>
        <w:spacing w:line="360" w:lineRule="auto"/>
        <w:ind w:firstLine="480"/>
        <w:outlineLvl w:val="0"/>
        <w:rPr>
          <w:rFonts w:hint="eastAsia" w:eastAsia="宋体"/>
          <w:color w:val="auto"/>
          <w:sz w:val="24"/>
          <w:szCs w:val="24"/>
        </w:rPr>
      </w:pPr>
      <w:r>
        <w:rPr>
          <w:rFonts w:hint="eastAsia" w:eastAsia="宋体"/>
          <w:color w:val="auto"/>
          <w:sz w:val="24"/>
          <w:szCs w:val="24"/>
        </w:rPr>
        <w:t>最高额度不超过24,600万元（含），自董事会审议通过之日起1年内有效。额度内资金可以滚动使用（即任一时点产品余额不超过24,600万元），该额度将根据募集资金投资计划及实际使用情况逐步递减。</w:t>
      </w:r>
    </w:p>
    <w:p>
      <w:pPr>
        <w:pStyle w:val="22"/>
        <w:adjustRightInd w:val="0"/>
        <w:snapToGrid w:val="0"/>
        <w:spacing w:line="360" w:lineRule="auto"/>
        <w:ind w:firstLine="480"/>
        <w:outlineLvl w:val="0"/>
        <w:rPr>
          <w:rFonts w:hint="eastAsia" w:eastAsia="宋体"/>
          <w:color w:val="auto"/>
          <w:sz w:val="24"/>
          <w:szCs w:val="24"/>
        </w:rPr>
      </w:pPr>
      <w:r>
        <w:rPr>
          <w:rFonts w:hint="eastAsia" w:eastAsia="宋体"/>
          <w:color w:val="auto"/>
          <w:sz w:val="24"/>
          <w:szCs w:val="24"/>
        </w:rPr>
        <w:t>3、实施方式</w:t>
      </w:r>
    </w:p>
    <w:p>
      <w:pPr>
        <w:pStyle w:val="22"/>
        <w:adjustRightInd w:val="0"/>
        <w:snapToGrid w:val="0"/>
        <w:spacing w:line="360" w:lineRule="auto"/>
        <w:ind w:firstLine="480"/>
        <w:outlineLvl w:val="0"/>
        <w:rPr>
          <w:rFonts w:hint="eastAsia" w:eastAsia="宋体"/>
          <w:color w:val="auto"/>
          <w:sz w:val="24"/>
          <w:szCs w:val="24"/>
        </w:rPr>
      </w:pPr>
      <w:r>
        <w:rPr>
          <w:rFonts w:hint="eastAsia" w:eastAsia="宋体"/>
          <w:color w:val="auto"/>
          <w:sz w:val="24"/>
          <w:szCs w:val="24"/>
        </w:rPr>
        <w:t>公司董事会授权公司总经理在额度内行使该项投资决策权，并授权法定代表人签署相关合同文件。</w:t>
      </w:r>
    </w:p>
    <w:p>
      <w:pPr>
        <w:pStyle w:val="22"/>
        <w:adjustRightInd w:val="0"/>
        <w:snapToGrid w:val="0"/>
        <w:spacing w:line="360" w:lineRule="auto"/>
        <w:ind w:firstLine="482"/>
        <w:outlineLvl w:val="0"/>
        <w:rPr>
          <w:rFonts w:eastAsia="宋体"/>
          <w:b/>
          <w:color w:val="auto"/>
          <w:sz w:val="24"/>
        </w:rPr>
      </w:pPr>
      <w:r>
        <w:rPr>
          <w:rFonts w:hint="eastAsia" w:eastAsia="宋体"/>
          <w:b/>
          <w:color w:val="auto"/>
          <w:sz w:val="24"/>
        </w:rPr>
        <w:t>五</w:t>
      </w:r>
      <w:r>
        <w:rPr>
          <w:rFonts w:eastAsia="宋体"/>
          <w:b/>
          <w:color w:val="auto"/>
          <w:sz w:val="24"/>
        </w:rPr>
        <w:t>、投资风险及风险控制措施</w:t>
      </w:r>
    </w:p>
    <w:p>
      <w:pPr>
        <w:adjustRightInd w:val="0"/>
        <w:snapToGrid w:val="0"/>
        <w:spacing w:line="360" w:lineRule="auto"/>
        <w:ind w:firstLine="480" w:firstLineChars="200"/>
        <w:rPr>
          <w:rFonts w:eastAsia="宋体"/>
          <w:color w:val="auto"/>
          <w:sz w:val="24"/>
        </w:rPr>
      </w:pPr>
      <w:r>
        <w:rPr>
          <w:rFonts w:eastAsia="宋体"/>
          <w:color w:val="auto"/>
          <w:sz w:val="24"/>
        </w:rPr>
        <w:t>公司</w:t>
      </w:r>
      <w:r>
        <w:rPr>
          <w:rFonts w:hint="eastAsia" w:eastAsia="宋体"/>
          <w:color w:val="auto"/>
          <w:sz w:val="24"/>
        </w:rPr>
        <w:t>使用部分暂时闲置的募集资金进行现金管理，购买的品种</w:t>
      </w:r>
      <w:r>
        <w:rPr>
          <w:rFonts w:eastAsia="宋体"/>
          <w:color w:val="auto"/>
          <w:sz w:val="24"/>
        </w:rPr>
        <w:t>属于低风险投资品种，但金融市场受宏观经济影响，不排除该项投资受到市场波动的影响。</w:t>
      </w:r>
      <w:r>
        <w:rPr>
          <w:rFonts w:eastAsia="宋体"/>
          <w:bCs/>
          <w:color w:val="auto"/>
          <w:kern w:val="0"/>
          <w:sz w:val="24"/>
        </w:rPr>
        <w:t>公司将及时分析和跟踪产品投向、项目进展情况，如评估发现存在可能影响公司资金安全的风险因素，将及时采取相应的措施，控制投资风险；公司审计部门将资金的使用与保管情况进行审计与监督；独立董事、监事会有权对资金使用情况进行监督与检查，必要时可以聘请专业机构进行审计；公司将按照监管规定，定期披露</w:t>
      </w:r>
      <w:r>
        <w:rPr>
          <w:rFonts w:hint="eastAsia" w:eastAsia="宋体"/>
          <w:bCs/>
          <w:color w:val="auto"/>
          <w:kern w:val="0"/>
          <w:sz w:val="24"/>
        </w:rPr>
        <w:t>现金管理</w:t>
      </w:r>
      <w:r>
        <w:rPr>
          <w:rFonts w:eastAsia="宋体"/>
          <w:bCs/>
          <w:color w:val="auto"/>
          <w:kern w:val="0"/>
          <w:sz w:val="24"/>
        </w:rPr>
        <w:t>产品投资以及相应的损益情况。</w:t>
      </w:r>
    </w:p>
    <w:p>
      <w:pPr>
        <w:pStyle w:val="22"/>
        <w:adjustRightInd w:val="0"/>
        <w:snapToGrid w:val="0"/>
        <w:spacing w:line="360" w:lineRule="auto"/>
        <w:ind w:firstLine="482"/>
        <w:outlineLvl w:val="0"/>
        <w:rPr>
          <w:rFonts w:eastAsia="宋体"/>
          <w:b/>
          <w:color w:val="auto"/>
          <w:sz w:val="24"/>
        </w:rPr>
      </w:pPr>
      <w:r>
        <w:rPr>
          <w:rFonts w:hint="eastAsia" w:eastAsia="宋体"/>
          <w:b/>
          <w:color w:val="auto"/>
          <w:sz w:val="24"/>
        </w:rPr>
        <w:t>六</w:t>
      </w:r>
      <w:r>
        <w:rPr>
          <w:rFonts w:eastAsia="宋体"/>
          <w:b/>
          <w:color w:val="auto"/>
          <w:sz w:val="24"/>
        </w:rPr>
        <w:t>、保证募集资金项目正常进行的措施</w:t>
      </w:r>
    </w:p>
    <w:p>
      <w:pPr>
        <w:adjustRightInd w:val="0"/>
        <w:snapToGrid w:val="0"/>
        <w:spacing w:line="360" w:lineRule="auto"/>
        <w:ind w:firstLine="480" w:firstLineChars="200"/>
        <w:rPr>
          <w:rFonts w:eastAsia="宋体"/>
          <w:color w:val="auto"/>
          <w:sz w:val="24"/>
        </w:rPr>
      </w:pPr>
      <w:r>
        <w:rPr>
          <w:rFonts w:eastAsia="宋体"/>
          <w:color w:val="auto"/>
          <w:sz w:val="24"/>
        </w:rPr>
        <w:t>公司本次使用</w:t>
      </w:r>
      <w:r>
        <w:rPr>
          <w:rFonts w:hint="eastAsia" w:eastAsia="宋体"/>
          <w:color w:val="auto"/>
          <w:sz w:val="24"/>
        </w:rPr>
        <w:t>部分暂时</w:t>
      </w:r>
      <w:r>
        <w:rPr>
          <w:rFonts w:eastAsia="宋体"/>
          <w:color w:val="auto"/>
          <w:sz w:val="24"/>
        </w:rPr>
        <w:t>闲置</w:t>
      </w:r>
      <w:r>
        <w:rPr>
          <w:rFonts w:hint="eastAsia" w:eastAsia="宋体"/>
          <w:color w:val="auto"/>
          <w:sz w:val="24"/>
        </w:rPr>
        <w:t>的</w:t>
      </w:r>
      <w:r>
        <w:rPr>
          <w:rFonts w:eastAsia="宋体"/>
          <w:color w:val="auto"/>
          <w:sz w:val="24"/>
        </w:rPr>
        <w:t>募集资金</w:t>
      </w:r>
      <w:r>
        <w:rPr>
          <w:rFonts w:hint="eastAsia" w:eastAsia="宋体"/>
          <w:color w:val="auto"/>
          <w:sz w:val="24"/>
        </w:rPr>
        <w:t>进行现金管理</w:t>
      </w:r>
      <w:r>
        <w:rPr>
          <w:rFonts w:eastAsia="宋体"/>
          <w:color w:val="auto"/>
          <w:sz w:val="24"/>
        </w:rPr>
        <w:t>，不存在变相改变募集资金投向的行为。同时公司将严格按照募集资金使用和管理办法的相关规定，做好募集资金的存放、管理与使用工作。若募集资金项目因发展需要，实际实施进度超出预期，公司将随时利用自有资金及银行贷款及时归还。本次使用暂时闲置募集资金</w:t>
      </w:r>
      <w:r>
        <w:rPr>
          <w:rFonts w:hint="eastAsia" w:eastAsia="宋体"/>
          <w:color w:val="auto"/>
          <w:sz w:val="24"/>
        </w:rPr>
        <w:t>进行现金管理的</w:t>
      </w:r>
      <w:r>
        <w:rPr>
          <w:rFonts w:eastAsia="宋体"/>
          <w:color w:val="auto"/>
          <w:sz w:val="24"/>
        </w:rPr>
        <w:t>产品不得质押，且募集资金账户不得存放非募集资金或用作其他用途。</w:t>
      </w:r>
    </w:p>
    <w:p>
      <w:pPr>
        <w:pStyle w:val="22"/>
        <w:adjustRightInd w:val="0"/>
        <w:snapToGrid w:val="0"/>
        <w:spacing w:line="360" w:lineRule="auto"/>
        <w:ind w:firstLine="482"/>
        <w:outlineLvl w:val="0"/>
        <w:rPr>
          <w:rFonts w:eastAsia="宋体"/>
          <w:b/>
          <w:color w:val="auto"/>
          <w:sz w:val="24"/>
        </w:rPr>
      </w:pPr>
      <w:r>
        <w:rPr>
          <w:rFonts w:hint="eastAsia" w:eastAsia="宋体"/>
          <w:b/>
          <w:color w:val="auto"/>
          <w:sz w:val="24"/>
        </w:rPr>
        <w:t>七</w:t>
      </w:r>
      <w:r>
        <w:rPr>
          <w:rFonts w:eastAsia="宋体"/>
          <w:b/>
          <w:color w:val="auto"/>
          <w:sz w:val="24"/>
        </w:rPr>
        <w:t>、董事会、</w:t>
      </w:r>
      <w:r>
        <w:rPr>
          <w:rFonts w:hint="eastAsia" w:eastAsia="宋体"/>
          <w:b/>
          <w:color w:val="auto"/>
          <w:sz w:val="24"/>
          <w:lang w:val="en-US" w:eastAsia="zh-CN"/>
        </w:rPr>
        <w:t>审计委员会、</w:t>
      </w:r>
      <w:r>
        <w:rPr>
          <w:rFonts w:eastAsia="宋体"/>
          <w:b/>
          <w:color w:val="auto"/>
          <w:sz w:val="24"/>
        </w:rPr>
        <w:t>监事会、独立财务顾问出具的意见</w:t>
      </w:r>
    </w:p>
    <w:p>
      <w:pPr>
        <w:adjustRightInd w:val="0"/>
        <w:snapToGrid w:val="0"/>
        <w:spacing w:line="360" w:lineRule="auto"/>
        <w:ind w:firstLine="480" w:firstLineChars="200"/>
        <w:rPr>
          <w:rFonts w:eastAsia="宋体"/>
          <w:color w:val="auto"/>
          <w:sz w:val="24"/>
        </w:rPr>
      </w:pPr>
      <w:r>
        <w:rPr>
          <w:rFonts w:hint="eastAsia" w:eastAsia="宋体"/>
          <w:color w:val="auto"/>
          <w:sz w:val="24"/>
        </w:rPr>
        <w:t>2024年4月12日，公司第十届董事会审计委员会2024年第一次会议审议通过《关于使用暂时闲置募集资金进行现金管理的议案》</w:t>
      </w:r>
      <w:r>
        <w:rPr>
          <w:rFonts w:hint="eastAsia" w:eastAsia="宋体"/>
          <w:color w:val="auto"/>
          <w:sz w:val="24"/>
          <w:lang w:val="en-US" w:eastAsia="zh-CN"/>
        </w:rPr>
        <w:t>；</w:t>
      </w:r>
      <w:r>
        <w:rPr>
          <w:rFonts w:eastAsia="宋体"/>
          <w:color w:val="auto"/>
          <w:sz w:val="24"/>
        </w:rPr>
        <w:t>202</w:t>
      </w:r>
      <w:r>
        <w:rPr>
          <w:rFonts w:hint="eastAsia" w:eastAsia="宋体"/>
          <w:color w:val="auto"/>
          <w:sz w:val="24"/>
        </w:rPr>
        <w:t>4</w:t>
      </w:r>
      <w:r>
        <w:rPr>
          <w:rFonts w:eastAsia="宋体"/>
          <w:color w:val="auto"/>
          <w:sz w:val="24"/>
        </w:rPr>
        <w:t>年4月2</w:t>
      </w:r>
      <w:r>
        <w:rPr>
          <w:rFonts w:hint="eastAsia" w:eastAsia="宋体"/>
          <w:color w:val="auto"/>
          <w:sz w:val="24"/>
        </w:rPr>
        <w:t>5</w:t>
      </w:r>
      <w:r>
        <w:rPr>
          <w:rFonts w:eastAsia="宋体"/>
          <w:color w:val="auto"/>
          <w:sz w:val="24"/>
        </w:rPr>
        <w:t>日，公司第</w:t>
      </w:r>
      <w:r>
        <w:rPr>
          <w:rFonts w:hint="eastAsia" w:eastAsia="宋体"/>
          <w:color w:val="auto"/>
          <w:sz w:val="24"/>
        </w:rPr>
        <w:t>十</w:t>
      </w:r>
      <w:r>
        <w:rPr>
          <w:rFonts w:eastAsia="宋体"/>
          <w:color w:val="auto"/>
          <w:sz w:val="24"/>
        </w:rPr>
        <w:t>届董事会第</w:t>
      </w:r>
      <w:r>
        <w:rPr>
          <w:rFonts w:hint="eastAsia" w:eastAsia="宋体"/>
          <w:color w:val="auto"/>
          <w:sz w:val="24"/>
          <w:lang w:val="en-US" w:eastAsia="zh-CN"/>
        </w:rPr>
        <w:t>十五</w:t>
      </w:r>
      <w:r>
        <w:rPr>
          <w:rFonts w:eastAsia="宋体"/>
          <w:color w:val="auto"/>
          <w:sz w:val="24"/>
        </w:rPr>
        <w:t>次会议和第</w:t>
      </w:r>
      <w:r>
        <w:rPr>
          <w:rFonts w:hint="eastAsia" w:eastAsia="宋体"/>
          <w:color w:val="auto"/>
          <w:sz w:val="24"/>
        </w:rPr>
        <w:t>十</w:t>
      </w:r>
      <w:r>
        <w:rPr>
          <w:rFonts w:eastAsia="宋体"/>
          <w:color w:val="auto"/>
          <w:sz w:val="24"/>
        </w:rPr>
        <w:t>届监事会第</w:t>
      </w:r>
      <w:r>
        <w:rPr>
          <w:rFonts w:hint="eastAsia" w:eastAsia="宋体"/>
          <w:color w:val="auto"/>
          <w:sz w:val="24"/>
          <w:lang w:val="en-US" w:eastAsia="zh-CN"/>
        </w:rPr>
        <w:t>九</w:t>
      </w:r>
      <w:r>
        <w:rPr>
          <w:rFonts w:eastAsia="宋体"/>
          <w:color w:val="auto"/>
          <w:sz w:val="24"/>
        </w:rPr>
        <w:t>次会议审议通过了《关于使用暂时闲置募集资金进行现金管理的议案》，监事会和独立财务顾问发表了明确同意意见。</w:t>
      </w:r>
    </w:p>
    <w:p>
      <w:pPr>
        <w:pStyle w:val="22"/>
        <w:adjustRightInd w:val="0"/>
        <w:snapToGrid w:val="0"/>
        <w:spacing w:line="360" w:lineRule="auto"/>
        <w:ind w:firstLine="480"/>
        <w:outlineLvl w:val="1"/>
        <w:rPr>
          <w:rFonts w:hint="default" w:eastAsia="宋体"/>
          <w:bCs/>
          <w:color w:val="auto"/>
          <w:sz w:val="24"/>
          <w:lang w:val="en-US" w:eastAsia="zh-CN"/>
        </w:rPr>
      </w:pPr>
      <w:r>
        <w:rPr>
          <w:rFonts w:hint="eastAsia" w:eastAsia="宋体"/>
          <w:bCs/>
          <w:color w:val="auto"/>
          <w:sz w:val="24"/>
          <w:lang w:eastAsia="zh-CN"/>
        </w:rPr>
        <w:t>（</w:t>
      </w:r>
      <w:r>
        <w:rPr>
          <w:rFonts w:hint="eastAsia" w:eastAsia="宋体"/>
          <w:bCs/>
          <w:color w:val="auto"/>
          <w:sz w:val="24"/>
          <w:lang w:val="en-US" w:eastAsia="zh-CN"/>
        </w:rPr>
        <w:t>一</w:t>
      </w:r>
      <w:r>
        <w:rPr>
          <w:rFonts w:hint="eastAsia" w:eastAsia="宋体"/>
          <w:bCs/>
          <w:color w:val="auto"/>
          <w:sz w:val="24"/>
          <w:lang w:eastAsia="zh-CN"/>
        </w:rPr>
        <w:t>）审计委员会</w:t>
      </w:r>
      <w:r>
        <w:rPr>
          <w:rFonts w:hint="eastAsia" w:eastAsia="宋体"/>
          <w:bCs/>
          <w:color w:val="auto"/>
          <w:sz w:val="24"/>
          <w:lang w:val="en-US" w:eastAsia="zh-CN"/>
        </w:rPr>
        <w:t>意见</w:t>
      </w:r>
    </w:p>
    <w:p>
      <w:pPr>
        <w:pStyle w:val="22"/>
        <w:adjustRightInd w:val="0"/>
        <w:snapToGrid w:val="0"/>
        <w:spacing w:line="360" w:lineRule="auto"/>
        <w:ind w:firstLine="480"/>
        <w:outlineLvl w:val="1"/>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经审议，审计委员会同意公司使用暂时闲置募集资金进行现金管理，期限为自董事会审批通过之日起不超过12个月，授权公司总经理在额度内行使该项投资决策权，并同意提交董事会审议。</w:t>
      </w:r>
    </w:p>
    <w:p>
      <w:pPr>
        <w:pStyle w:val="22"/>
        <w:adjustRightInd w:val="0"/>
        <w:snapToGrid w:val="0"/>
        <w:spacing w:line="360" w:lineRule="auto"/>
        <w:ind w:firstLine="480"/>
        <w:outlineLvl w:val="1"/>
        <w:rPr>
          <w:rFonts w:eastAsia="宋体"/>
          <w:bCs/>
          <w:color w:val="auto"/>
          <w:sz w:val="24"/>
        </w:rPr>
      </w:pPr>
      <w:r>
        <w:rPr>
          <w:rFonts w:eastAsia="宋体"/>
          <w:bCs/>
          <w:color w:val="auto"/>
          <w:sz w:val="24"/>
        </w:rPr>
        <w:t>（</w:t>
      </w:r>
      <w:r>
        <w:rPr>
          <w:rFonts w:hint="eastAsia" w:eastAsia="宋体"/>
          <w:bCs/>
          <w:color w:val="auto"/>
          <w:sz w:val="24"/>
          <w:lang w:val="en-US" w:eastAsia="zh-CN"/>
        </w:rPr>
        <w:t>二</w:t>
      </w:r>
      <w:r>
        <w:rPr>
          <w:rFonts w:eastAsia="宋体"/>
          <w:bCs/>
          <w:color w:val="auto"/>
          <w:sz w:val="24"/>
        </w:rPr>
        <w:t>）董事会意见</w:t>
      </w:r>
    </w:p>
    <w:p>
      <w:pPr>
        <w:adjustRightInd w:val="0"/>
        <w:snapToGrid w:val="0"/>
        <w:spacing w:line="360" w:lineRule="auto"/>
        <w:ind w:firstLine="480" w:firstLineChars="200"/>
        <w:rPr>
          <w:rFonts w:eastAsia="宋体"/>
          <w:color w:val="auto"/>
          <w:sz w:val="24"/>
        </w:rPr>
      </w:pPr>
      <w:r>
        <w:rPr>
          <w:rFonts w:eastAsia="宋体"/>
          <w:color w:val="auto"/>
          <w:sz w:val="24"/>
        </w:rPr>
        <w:t>经审议，董事会认为：在确保不影响募集资金项目建设和募集资金使用的情况下，公司使用闲置募集资金</w:t>
      </w:r>
      <w:r>
        <w:rPr>
          <w:rFonts w:hint="eastAsia" w:eastAsia="宋体"/>
          <w:color w:val="auto"/>
          <w:sz w:val="24"/>
        </w:rPr>
        <w:t>进行现金管理</w:t>
      </w:r>
      <w:r>
        <w:rPr>
          <w:rFonts w:eastAsia="宋体"/>
          <w:color w:val="auto"/>
          <w:sz w:val="24"/>
        </w:rPr>
        <w:t>，有利于提高闲置募集资金的现金管理收益；未与募集资金投资项目的实施计划相抵触，不影响募集资金项目的正常进行，不存在变相改变募集资金用途和损害股东利益的情形，符合中国证券监督管理委员会、深圳证券交易所关于上市公司募集资金管理的相关规定。</w:t>
      </w:r>
    </w:p>
    <w:p>
      <w:pPr>
        <w:pStyle w:val="22"/>
        <w:adjustRightInd w:val="0"/>
        <w:snapToGrid w:val="0"/>
        <w:spacing w:line="360" w:lineRule="auto"/>
        <w:ind w:firstLine="480"/>
        <w:outlineLvl w:val="1"/>
        <w:rPr>
          <w:rFonts w:eastAsia="宋体"/>
          <w:bCs/>
          <w:color w:val="auto"/>
          <w:sz w:val="24"/>
        </w:rPr>
      </w:pPr>
      <w:r>
        <w:rPr>
          <w:rFonts w:eastAsia="宋体"/>
          <w:bCs/>
          <w:color w:val="auto"/>
          <w:sz w:val="24"/>
        </w:rPr>
        <w:t>（</w:t>
      </w:r>
      <w:r>
        <w:rPr>
          <w:rFonts w:hint="eastAsia" w:eastAsia="宋体"/>
          <w:bCs/>
          <w:color w:val="auto"/>
          <w:sz w:val="24"/>
          <w:lang w:val="en-US" w:eastAsia="zh-CN"/>
        </w:rPr>
        <w:t>三</w:t>
      </w:r>
      <w:r>
        <w:rPr>
          <w:rFonts w:eastAsia="宋体"/>
          <w:bCs/>
          <w:color w:val="auto"/>
          <w:sz w:val="24"/>
        </w:rPr>
        <w:t>）监事会意见</w:t>
      </w:r>
    </w:p>
    <w:p>
      <w:pPr>
        <w:adjustRightInd w:val="0"/>
        <w:snapToGrid w:val="0"/>
        <w:spacing w:line="360" w:lineRule="auto"/>
        <w:ind w:firstLine="480" w:firstLineChars="200"/>
        <w:rPr>
          <w:rFonts w:eastAsia="宋体"/>
          <w:color w:val="auto"/>
          <w:sz w:val="24"/>
        </w:rPr>
      </w:pPr>
      <w:r>
        <w:rPr>
          <w:rFonts w:eastAsia="宋体"/>
          <w:color w:val="auto"/>
          <w:sz w:val="24"/>
        </w:rPr>
        <w:t>经审议，监事会认为：在确保不影响募集资金项目建设和募集资金使用的情况下，公司使用闲置募集资金</w:t>
      </w:r>
      <w:r>
        <w:rPr>
          <w:rFonts w:hint="eastAsia" w:eastAsia="宋体"/>
          <w:color w:val="auto"/>
          <w:sz w:val="24"/>
        </w:rPr>
        <w:t>进行现金管理</w:t>
      </w:r>
      <w:r>
        <w:rPr>
          <w:rFonts w:eastAsia="宋体"/>
          <w:color w:val="auto"/>
          <w:sz w:val="24"/>
        </w:rPr>
        <w:t>，有利于提高闲置募集资金的现金管理收益；未与募集资金投资项目的实施计划相抵触，不影响募集资金项目的正常进行，不存在变相改变募集资金用途和损害股东利益的情形，符合中国证券监督管理委员会、深圳证券交易所关于上市公司募集资金管理的相关规定。</w:t>
      </w:r>
    </w:p>
    <w:p>
      <w:pPr>
        <w:pStyle w:val="22"/>
        <w:adjustRightInd w:val="0"/>
        <w:snapToGrid w:val="0"/>
        <w:spacing w:line="360" w:lineRule="auto"/>
        <w:ind w:firstLine="480"/>
        <w:outlineLvl w:val="1"/>
        <w:rPr>
          <w:rFonts w:eastAsia="宋体"/>
          <w:bCs/>
          <w:color w:val="auto"/>
          <w:sz w:val="24"/>
        </w:rPr>
      </w:pPr>
      <w:r>
        <w:rPr>
          <w:rFonts w:eastAsia="宋体"/>
          <w:bCs/>
          <w:color w:val="auto"/>
          <w:sz w:val="24"/>
        </w:rPr>
        <w:t>（</w:t>
      </w:r>
      <w:r>
        <w:rPr>
          <w:rFonts w:hint="eastAsia" w:eastAsia="宋体"/>
          <w:bCs/>
          <w:color w:val="auto"/>
          <w:sz w:val="24"/>
          <w:lang w:val="en-US" w:eastAsia="zh-CN"/>
        </w:rPr>
        <w:t>四</w:t>
      </w:r>
      <w:r>
        <w:rPr>
          <w:rFonts w:eastAsia="宋体"/>
          <w:bCs/>
          <w:color w:val="auto"/>
          <w:sz w:val="24"/>
        </w:rPr>
        <w:t>）独立财务顾问意见</w:t>
      </w:r>
    </w:p>
    <w:p>
      <w:pPr>
        <w:adjustRightInd w:val="0"/>
        <w:snapToGrid w:val="0"/>
        <w:spacing w:line="360" w:lineRule="auto"/>
        <w:ind w:firstLine="480" w:firstLineChars="200"/>
        <w:rPr>
          <w:rFonts w:hint="eastAsia" w:ascii="宋体" w:hAnsi="宋体" w:eastAsia="宋体" w:cs="宋体"/>
          <w:color w:val="auto"/>
          <w:sz w:val="24"/>
        </w:rPr>
      </w:pPr>
      <w:r>
        <w:rPr>
          <w:rFonts w:eastAsia="宋体"/>
          <w:color w:val="auto"/>
          <w:sz w:val="24"/>
        </w:rPr>
        <w:t>经核查，独立财务顾问认为：</w:t>
      </w:r>
      <w:r>
        <w:rPr>
          <w:rFonts w:hint="eastAsia" w:ascii="宋体" w:hAnsi="宋体" w:eastAsia="宋体" w:cs="宋体"/>
          <w:color w:val="auto"/>
          <w:sz w:val="24"/>
        </w:rPr>
        <w:t>《关于使用暂时闲置募集资金进行现金管理的议案》已经中广核技第十届董事会第十五次会议和第十届监事会第九次会议审议通过。本次使用闲置募集资金进行现金管理符合《上市公司监管指引第2号——上市公司募集资金管理和使用的监管要求》《</w:t>
      </w:r>
      <w:r>
        <w:rPr>
          <w:rFonts w:hint="eastAsia" w:ascii="宋体" w:hAnsi="宋体" w:eastAsia="宋体" w:cs="宋体"/>
          <w:color w:val="auto"/>
          <w:sz w:val="24"/>
          <w:szCs w:val="24"/>
        </w:rPr>
        <w:t>深圳证券交易所上市公司自律监管指引第1号——主板上市公司规范运作</w:t>
      </w:r>
      <w:r>
        <w:rPr>
          <w:rFonts w:hint="eastAsia" w:ascii="宋体" w:hAnsi="宋体" w:eastAsia="宋体" w:cs="宋体"/>
          <w:color w:val="auto"/>
          <w:sz w:val="24"/>
        </w:rPr>
        <w:t>》等相关规定。本独立财务顾问对中广核技使用闲置募集资金进行现金管理的事项无异议。</w:t>
      </w:r>
    </w:p>
    <w:p>
      <w:pPr>
        <w:pStyle w:val="22"/>
        <w:adjustRightInd w:val="0"/>
        <w:snapToGrid w:val="0"/>
        <w:spacing w:line="360" w:lineRule="auto"/>
        <w:ind w:firstLine="482"/>
        <w:outlineLvl w:val="0"/>
        <w:rPr>
          <w:rFonts w:eastAsia="宋体"/>
          <w:b/>
          <w:color w:val="auto"/>
          <w:sz w:val="24"/>
        </w:rPr>
      </w:pPr>
      <w:r>
        <w:rPr>
          <w:rFonts w:hint="eastAsia" w:eastAsia="宋体"/>
          <w:b/>
          <w:color w:val="auto"/>
          <w:sz w:val="24"/>
        </w:rPr>
        <w:t>八</w:t>
      </w:r>
      <w:r>
        <w:rPr>
          <w:rFonts w:eastAsia="宋体"/>
          <w:b/>
          <w:color w:val="auto"/>
          <w:sz w:val="24"/>
        </w:rPr>
        <w:t>、备查文件</w:t>
      </w:r>
    </w:p>
    <w:p>
      <w:pPr>
        <w:adjustRightInd w:val="0"/>
        <w:snapToGrid w:val="0"/>
        <w:spacing w:line="360" w:lineRule="auto"/>
        <w:ind w:firstLine="480" w:firstLineChars="200"/>
        <w:rPr>
          <w:rFonts w:eastAsia="宋体"/>
          <w:color w:val="auto"/>
          <w:sz w:val="24"/>
        </w:rPr>
      </w:pPr>
      <w:r>
        <w:rPr>
          <w:rFonts w:eastAsia="宋体"/>
          <w:color w:val="auto"/>
          <w:sz w:val="24"/>
        </w:rPr>
        <w:t>（一）第</w:t>
      </w:r>
      <w:r>
        <w:rPr>
          <w:rFonts w:hint="eastAsia" w:eastAsia="宋体"/>
          <w:color w:val="auto"/>
          <w:sz w:val="24"/>
        </w:rPr>
        <w:t>十</w:t>
      </w:r>
      <w:r>
        <w:rPr>
          <w:rFonts w:eastAsia="宋体"/>
          <w:color w:val="auto"/>
          <w:sz w:val="24"/>
        </w:rPr>
        <w:t>届董事会第</w:t>
      </w:r>
      <w:r>
        <w:rPr>
          <w:rFonts w:hint="eastAsia" w:eastAsia="宋体"/>
          <w:color w:val="auto"/>
          <w:sz w:val="24"/>
        </w:rPr>
        <w:t>十五</w:t>
      </w:r>
      <w:r>
        <w:rPr>
          <w:rFonts w:eastAsia="宋体"/>
          <w:color w:val="auto"/>
          <w:sz w:val="24"/>
        </w:rPr>
        <w:t>次会议决议；</w:t>
      </w:r>
    </w:p>
    <w:p>
      <w:pPr>
        <w:adjustRightInd w:val="0"/>
        <w:snapToGrid w:val="0"/>
        <w:spacing w:line="360" w:lineRule="auto"/>
        <w:ind w:firstLine="480" w:firstLineChars="200"/>
        <w:rPr>
          <w:rFonts w:eastAsia="宋体"/>
          <w:color w:val="auto"/>
          <w:sz w:val="24"/>
        </w:rPr>
      </w:pPr>
      <w:r>
        <w:rPr>
          <w:rFonts w:eastAsia="宋体"/>
          <w:color w:val="auto"/>
          <w:sz w:val="24"/>
        </w:rPr>
        <w:t>（二）第</w:t>
      </w:r>
      <w:r>
        <w:rPr>
          <w:rFonts w:hint="eastAsia" w:eastAsia="宋体"/>
          <w:color w:val="auto"/>
          <w:sz w:val="24"/>
        </w:rPr>
        <w:t>十</w:t>
      </w:r>
      <w:r>
        <w:rPr>
          <w:rFonts w:eastAsia="宋体"/>
          <w:color w:val="auto"/>
          <w:sz w:val="24"/>
        </w:rPr>
        <w:t>届监事会第</w:t>
      </w:r>
      <w:r>
        <w:rPr>
          <w:rFonts w:hint="eastAsia" w:eastAsia="宋体"/>
          <w:color w:val="auto"/>
          <w:sz w:val="24"/>
        </w:rPr>
        <w:t>九</w:t>
      </w:r>
      <w:r>
        <w:rPr>
          <w:rFonts w:eastAsia="宋体"/>
          <w:color w:val="auto"/>
          <w:sz w:val="24"/>
        </w:rPr>
        <w:t>次会议决议；</w:t>
      </w:r>
    </w:p>
    <w:p>
      <w:pPr>
        <w:adjustRightInd w:val="0"/>
        <w:snapToGrid w:val="0"/>
        <w:spacing w:line="360" w:lineRule="auto"/>
        <w:ind w:firstLine="480" w:firstLineChars="200"/>
        <w:rPr>
          <w:rFonts w:hint="default" w:eastAsia="宋体"/>
          <w:color w:val="auto"/>
          <w:sz w:val="24"/>
          <w:lang w:val="en-US" w:eastAsia="zh-CN"/>
        </w:rPr>
      </w:pPr>
      <w:r>
        <w:rPr>
          <w:rFonts w:hint="eastAsia" w:eastAsia="宋体"/>
          <w:color w:val="auto"/>
          <w:sz w:val="24"/>
          <w:lang w:eastAsia="zh-CN"/>
        </w:rPr>
        <w:t>（</w:t>
      </w:r>
      <w:r>
        <w:rPr>
          <w:rFonts w:hint="eastAsia" w:eastAsia="宋体"/>
          <w:color w:val="auto"/>
          <w:sz w:val="24"/>
          <w:lang w:val="en-US" w:eastAsia="zh-CN"/>
        </w:rPr>
        <w:t>三</w:t>
      </w:r>
      <w:r>
        <w:rPr>
          <w:rFonts w:hint="eastAsia" w:eastAsia="宋体"/>
          <w:color w:val="auto"/>
          <w:sz w:val="24"/>
          <w:lang w:eastAsia="zh-CN"/>
        </w:rPr>
        <w:t>）第十届董事会审计委员会2024年第一次会议决议</w:t>
      </w:r>
      <w:r>
        <w:rPr>
          <w:rFonts w:hint="eastAsia" w:eastAsia="宋体"/>
          <w:color w:val="auto"/>
          <w:sz w:val="24"/>
          <w:lang w:val="en-US" w:eastAsia="zh-CN"/>
        </w:rPr>
        <w:t>；</w:t>
      </w:r>
    </w:p>
    <w:p>
      <w:pPr>
        <w:adjustRightInd w:val="0"/>
        <w:snapToGrid w:val="0"/>
        <w:spacing w:line="360" w:lineRule="auto"/>
        <w:ind w:firstLine="480" w:firstLineChars="200"/>
        <w:rPr>
          <w:rFonts w:eastAsia="宋体"/>
          <w:color w:val="auto"/>
          <w:sz w:val="24"/>
        </w:rPr>
      </w:pPr>
      <w:r>
        <w:rPr>
          <w:rFonts w:eastAsia="宋体"/>
          <w:color w:val="auto"/>
          <w:sz w:val="24"/>
        </w:rPr>
        <w:t>（</w:t>
      </w:r>
      <w:r>
        <w:rPr>
          <w:rFonts w:hint="eastAsia" w:eastAsia="宋体"/>
          <w:color w:val="auto"/>
          <w:sz w:val="24"/>
          <w:lang w:val="en-US" w:eastAsia="zh-CN"/>
        </w:rPr>
        <w:t>四</w:t>
      </w:r>
      <w:r>
        <w:rPr>
          <w:rFonts w:eastAsia="宋体"/>
          <w:color w:val="auto"/>
          <w:sz w:val="24"/>
        </w:rPr>
        <w:t>）</w:t>
      </w:r>
      <w:r>
        <w:rPr>
          <w:rFonts w:hint="eastAsia" w:eastAsia="宋体"/>
          <w:color w:val="auto"/>
          <w:sz w:val="24"/>
        </w:rPr>
        <w:t>中德证券有限责任公司关于公司使用暂时闲置募集资金进行现金管理的核查意见。</w:t>
      </w:r>
    </w:p>
    <w:p>
      <w:pPr>
        <w:adjustRightInd w:val="0"/>
        <w:snapToGrid w:val="0"/>
        <w:spacing w:line="360" w:lineRule="auto"/>
        <w:ind w:firstLine="480" w:firstLineChars="200"/>
        <w:rPr>
          <w:rFonts w:eastAsia="宋体"/>
          <w:color w:val="auto"/>
          <w:kern w:val="0"/>
          <w:sz w:val="24"/>
        </w:rPr>
      </w:pPr>
      <w:r>
        <w:rPr>
          <w:rFonts w:eastAsia="宋体"/>
          <w:color w:val="auto"/>
          <w:sz w:val="24"/>
        </w:rPr>
        <w:t>特此公告。</w:t>
      </w:r>
    </w:p>
    <w:p>
      <w:pPr>
        <w:adjustRightInd w:val="0"/>
        <w:snapToGrid w:val="0"/>
        <w:spacing w:line="360" w:lineRule="auto"/>
        <w:ind w:left="480"/>
        <w:jc w:val="right"/>
        <w:rPr>
          <w:rFonts w:eastAsia="宋体"/>
          <w:b/>
          <w:color w:val="auto"/>
          <w:sz w:val="24"/>
        </w:rPr>
      </w:pPr>
      <w:r>
        <w:rPr>
          <w:rFonts w:eastAsia="宋体"/>
          <w:b/>
          <w:color w:val="auto"/>
          <w:sz w:val="24"/>
        </w:rPr>
        <w:t>中广核核技术发展股份有限公司</w:t>
      </w:r>
    </w:p>
    <w:p>
      <w:pPr>
        <w:adjustRightInd w:val="0"/>
        <w:snapToGrid w:val="0"/>
        <w:spacing w:line="360" w:lineRule="auto"/>
        <w:ind w:left="480"/>
        <w:jc w:val="right"/>
        <w:rPr>
          <w:rFonts w:eastAsia="宋体"/>
          <w:b/>
          <w:color w:val="auto"/>
          <w:sz w:val="24"/>
        </w:rPr>
      </w:pPr>
      <w:r>
        <w:rPr>
          <w:rFonts w:eastAsia="宋体"/>
          <w:b/>
          <w:color w:val="auto"/>
          <w:sz w:val="24"/>
        </w:rPr>
        <w:t>董事会</w:t>
      </w:r>
    </w:p>
    <w:p>
      <w:pPr>
        <w:adjustRightInd w:val="0"/>
        <w:snapToGrid w:val="0"/>
        <w:spacing w:line="360" w:lineRule="auto"/>
        <w:ind w:left="480" w:firstLine="482"/>
        <w:jc w:val="right"/>
        <w:rPr>
          <w:rFonts w:eastAsia="宋体"/>
          <w:color w:val="auto"/>
          <w:sz w:val="24"/>
        </w:rPr>
      </w:pPr>
      <w:r>
        <w:rPr>
          <w:rFonts w:eastAsia="宋体"/>
          <w:b/>
          <w:color w:val="auto"/>
          <w:sz w:val="24"/>
        </w:rPr>
        <w:t>202</w:t>
      </w:r>
      <w:r>
        <w:rPr>
          <w:rFonts w:hint="eastAsia" w:eastAsia="宋体"/>
          <w:b/>
          <w:color w:val="auto"/>
          <w:sz w:val="24"/>
        </w:rPr>
        <w:t>4</w:t>
      </w:r>
      <w:r>
        <w:rPr>
          <w:rFonts w:eastAsia="宋体"/>
          <w:b/>
          <w:color w:val="auto"/>
          <w:sz w:val="24"/>
        </w:rPr>
        <w:t>年4月</w:t>
      </w:r>
      <w:r>
        <w:rPr>
          <w:rFonts w:hint="eastAsia" w:eastAsia="宋体"/>
          <w:b/>
          <w:color w:val="auto"/>
          <w:sz w:val="24"/>
        </w:rPr>
        <w:t>27</w:t>
      </w:r>
      <w:r>
        <w:rPr>
          <w:rFonts w:eastAsia="宋体"/>
          <w:b/>
          <w:color w:val="auto"/>
          <w:sz w:val="24"/>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D2"/>
    <w:rsid w:val="00005DFC"/>
    <w:rsid w:val="00011215"/>
    <w:rsid w:val="000407A1"/>
    <w:rsid w:val="00043854"/>
    <w:rsid w:val="000565AD"/>
    <w:rsid w:val="000622CD"/>
    <w:rsid w:val="00064605"/>
    <w:rsid w:val="00065359"/>
    <w:rsid w:val="00074070"/>
    <w:rsid w:val="0008410D"/>
    <w:rsid w:val="0008461E"/>
    <w:rsid w:val="00093C81"/>
    <w:rsid w:val="000961E8"/>
    <w:rsid w:val="000B0C18"/>
    <w:rsid w:val="000B35D8"/>
    <w:rsid w:val="000B4D2B"/>
    <w:rsid w:val="000C3A3B"/>
    <w:rsid w:val="000F6348"/>
    <w:rsid w:val="00101EB0"/>
    <w:rsid w:val="00103F33"/>
    <w:rsid w:val="00123ADF"/>
    <w:rsid w:val="00124950"/>
    <w:rsid w:val="001274E7"/>
    <w:rsid w:val="00133715"/>
    <w:rsid w:val="0013469C"/>
    <w:rsid w:val="00153753"/>
    <w:rsid w:val="0016433D"/>
    <w:rsid w:val="00176224"/>
    <w:rsid w:val="00182413"/>
    <w:rsid w:val="001900BA"/>
    <w:rsid w:val="00196ABE"/>
    <w:rsid w:val="001A3A5D"/>
    <w:rsid w:val="001C7AD3"/>
    <w:rsid w:val="001D24AC"/>
    <w:rsid w:val="001E1386"/>
    <w:rsid w:val="002077C4"/>
    <w:rsid w:val="00230005"/>
    <w:rsid w:val="002379FC"/>
    <w:rsid w:val="002406C5"/>
    <w:rsid w:val="00245F8F"/>
    <w:rsid w:val="00246784"/>
    <w:rsid w:val="00263159"/>
    <w:rsid w:val="00267274"/>
    <w:rsid w:val="002913CE"/>
    <w:rsid w:val="00296608"/>
    <w:rsid w:val="002979C9"/>
    <w:rsid w:val="002A7FAA"/>
    <w:rsid w:val="002B75D0"/>
    <w:rsid w:val="002C78C7"/>
    <w:rsid w:val="002D720B"/>
    <w:rsid w:val="002E0F0B"/>
    <w:rsid w:val="002E128D"/>
    <w:rsid w:val="002F0FD5"/>
    <w:rsid w:val="002F47FB"/>
    <w:rsid w:val="002F522B"/>
    <w:rsid w:val="00301C48"/>
    <w:rsid w:val="00302959"/>
    <w:rsid w:val="003032FB"/>
    <w:rsid w:val="0030556F"/>
    <w:rsid w:val="0030691E"/>
    <w:rsid w:val="003122D1"/>
    <w:rsid w:val="00316068"/>
    <w:rsid w:val="003164CA"/>
    <w:rsid w:val="003277BE"/>
    <w:rsid w:val="003623B1"/>
    <w:rsid w:val="0037033A"/>
    <w:rsid w:val="003727D0"/>
    <w:rsid w:val="00377AE0"/>
    <w:rsid w:val="00381033"/>
    <w:rsid w:val="003A7DAC"/>
    <w:rsid w:val="003B7E9A"/>
    <w:rsid w:val="003C333E"/>
    <w:rsid w:val="003D0B3E"/>
    <w:rsid w:val="003D20EF"/>
    <w:rsid w:val="003F12BE"/>
    <w:rsid w:val="003F43C6"/>
    <w:rsid w:val="004041E7"/>
    <w:rsid w:val="004319BC"/>
    <w:rsid w:val="0044612F"/>
    <w:rsid w:val="004461A7"/>
    <w:rsid w:val="004542C3"/>
    <w:rsid w:val="004543EC"/>
    <w:rsid w:val="00455CBB"/>
    <w:rsid w:val="004938AF"/>
    <w:rsid w:val="004E462A"/>
    <w:rsid w:val="004F4598"/>
    <w:rsid w:val="004F518C"/>
    <w:rsid w:val="00507565"/>
    <w:rsid w:val="00515B5A"/>
    <w:rsid w:val="0052306E"/>
    <w:rsid w:val="00524BDF"/>
    <w:rsid w:val="00527518"/>
    <w:rsid w:val="00527CB0"/>
    <w:rsid w:val="00534D61"/>
    <w:rsid w:val="00537B3B"/>
    <w:rsid w:val="00545D8B"/>
    <w:rsid w:val="00563F14"/>
    <w:rsid w:val="005775A8"/>
    <w:rsid w:val="00581D7A"/>
    <w:rsid w:val="00584645"/>
    <w:rsid w:val="00597626"/>
    <w:rsid w:val="005A574E"/>
    <w:rsid w:val="005A5CDC"/>
    <w:rsid w:val="005C694A"/>
    <w:rsid w:val="005D2DA8"/>
    <w:rsid w:val="005D795B"/>
    <w:rsid w:val="005E4EBD"/>
    <w:rsid w:val="005F35CF"/>
    <w:rsid w:val="00602614"/>
    <w:rsid w:val="00610048"/>
    <w:rsid w:val="00626112"/>
    <w:rsid w:val="006268EB"/>
    <w:rsid w:val="00636C1E"/>
    <w:rsid w:val="00637655"/>
    <w:rsid w:val="006433B1"/>
    <w:rsid w:val="00650519"/>
    <w:rsid w:val="00653406"/>
    <w:rsid w:val="0067015E"/>
    <w:rsid w:val="00670AFF"/>
    <w:rsid w:val="00675466"/>
    <w:rsid w:val="006802FD"/>
    <w:rsid w:val="006820AE"/>
    <w:rsid w:val="00697696"/>
    <w:rsid w:val="006A087B"/>
    <w:rsid w:val="006A0D5E"/>
    <w:rsid w:val="006B1C92"/>
    <w:rsid w:val="006B2E06"/>
    <w:rsid w:val="006B5F75"/>
    <w:rsid w:val="006C2919"/>
    <w:rsid w:val="006D474C"/>
    <w:rsid w:val="006E0270"/>
    <w:rsid w:val="006F02BB"/>
    <w:rsid w:val="006F48F3"/>
    <w:rsid w:val="006F6A30"/>
    <w:rsid w:val="00702860"/>
    <w:rsid w:val="00703558"/>
    <w:rsid w:val="00714E29"/>
    <w:rsid w:val="00716DC7"/>
    <w:rsid w:val="00720347"/>
    <w:rsid w:val="007269D9"/>
    <w:rsid w:val="00733326"/>
    <w:rsid w:val="007423A8"/>
    <w:rsid w:val="007571CE"/>
    <w:rsid w:val="007650C9"/>
    <w:rsid w:val="00774470"/>
    <w:rsid w:val="00794638"/>
    <w:rsid w:val="007A2A58"/>
    <w:rsid w:val="007A7DBF"/>
    <w:rsid w:val="007C134E"/>
    <w:rsid w:val="007C40DB"/>
    <w:rsid w:val="007C6AE8"/>
    <w:rsid w:val="007D1262"/>
    <w:rsid w:val="007D2E9B"/>
    <w:rsid w:val="007E1023"/>
    <w:rsid w:val="007E2A95"/>
    <w:rsid w:val="007E7935"/>
    <w:rsid w:val="007F07C4"/>
    <w:rsid w:val="007F713A"/>
    <w:rsid w:val="00803740"/>
    <w:rsid w:val="00817DF6"/>
    <w:rsid w:val="00821C70"/>
    <w:rsid w:val="008232E0"/>
    <w:rsid w:val="00842FAB"/>
    <w:rsid w:val="0084382E"/>
    <w:rsid w:val="00860D32"/>
    <w:rsid w:val="0086481E"/>
    <w:rsid w:val="0087183D"/>
    <w:rsid w:val="008718C6"/>
    <w:rsid w:val="00874DE2"/>
    <w:rsid w:val="00882DA0"/>
    <w:rsid w:val="00884AF6"/>
    <w:rsid w:val="008A7BBF"/>
    <w:rsid w:val="008B0716"/>
    <w:rsid w:val="008B7601"/>
    <w:rsid w:val="008C2D05"/>
    <w:rsid w:val="008E0A77"/>
    <w:rsid w:val="008E3194"/>
    <w:rsid w:val="009026D8"/>
    <w:rsid w:val="009033A6"/>
    <w:rsid w:val="009122D3"/>
    <w:rsid w:val="0091789E"/>
    <w:rsid w:val="00922D32"/>
    <w:rsid w:val="00930EDC"/>
    <w:rsid w:val="00934745"/>
    <w:rsid w:val="009419AC"/>
    <w:rsid w:val="00946F51"/>
    <w:rsid w:val="0097793D"/>
    <w:rsid w:val="00980D93"/>
    <w:rsid w:val="009926A6"/>
    <w:rsid w:val="009956DB"/>
    <w:rsid w:val="009A1147"/>
    <w:rsid w:val="009C43CA"/>
    <w:rsid w:val="009D7946"/>
    <w:rsid w:val="009E4A44"/>
    <w:rsid w:val="009E719F"/>
    <w:rsid w:val="00A03B46"/>
    <w:rsid w:val="00A05150"/>
    <w:rsid w:val="00A13CF3"/>
    <w:rsid w:val="00A16CD2"/>
    <w:rsid w:val="00A20B40"/>
    <w:rsid w:val="00A232F7"/>
    <w:rsid w:val="00A330AB"/>
    <w:rsid w:val="00A42308"/>
    <w:rsid w:val="00A423D8"/>
    <w:rsid w:val="00A74877"/>
    <w:rsid w:val="00A8050E"/>
    <w:rsid w:val="00A80D45"/>
    <w:rsid w:val="00A971B9"/>
    <w:rsid w:val="00AE124E"/>
    <w:rsid w:val="00AE15FA"/>
    <w:rsid w:val="00B06C0A"/>
    <w:rsid w:val="00B12AD5"/>
    <w:rsid w:val="00B1347C"/>
    <w:rsid w:val="00B247E2"/>
    <w:rsid w:val="00B35B0C"/>
    <w:rsid w:val="00B40425"/>
    <w:rsid w:val="00B43895"/>
    <w:rsid w:val="00B50F02"/>
    <w:rsid w:val="00B72628"/>
    <w:rsid w:val="00B72C39"/>
    <w:rsid w:val="00B76F20"/>
    <w:rsid w:val="00B772E0"/>
    <w:rsid w:val="00B839DD"/>
    <w:rsid w:val="00B85CB7"/>
    <w:rsid w:val="00B978AD"/>
    <w:rsid w:val="00BA03B0"/>
    <w:rsid w:val="00BA717D"/>
    <w:rsid w:val="00BB3817"/>
    <w:rsid w:val="00BB3A01"/>
    <w:rsid w:val="00BC1414"/>
    <w:rsid w:val="00BC6DF8"/>
    <w:rsid w:val="00BE3B39"/>
    <w:rsid w:val="00BE7EB9"/>
    <w:rsid w:val="00C018DC"/>
    <w:rsid w:val="00C01F67"/>
    <w:rsid w:val="00C16583"/>
    <w:rsid w:val="00C417D1"/>
    <w:rsid w:val="00C828D3"/>
    <w:rsid w:val="00C82B2E"/>
    <w:rsid w:val="00C93EAF"/>
    <w:rsid w:val="00CA1BA7"/>
    <w:rsid w:val="00CB449A"/>
    <w:rsid w:val="00CC6500"/>
    <w:rsid w:val="00CD77F7"/>
    <w:rsid w:val="00CE1F11"/>
    <w:rsid w:val="00CE59C5"/>
    <w:rsid w:val="00CF1891"/>
    <w:rsid w:val="00CF4BEA"/>
    <w:rsid w:val="00D34321"/>
    <w:rsid w:val="00D35120"/>
    <w:rsid w:val="00D5268B"/>
    <w:rsid w:val="00D6062A"/>
    <w:rsid w:val="00D61735"/>
    <w:rsid w:val="00D62E68"/>
    <w:rsid w:val="00D756D1"/>
    <w:rsid w:val="00D824FF"/>
    <w:rsid w:val="00D82F46"/>
    <w:rsid w:val="00D9686B"/>
    <w:rsid w:val="00DA0605"/>
    <w:rsid w:val="00DA6F10"/>
    <w:rsid w:val="00DE24F5"/>
    <w:rsid w:val="00DE6FA4"/>
    <w:rsid w:val="00DF7A75"/>
    <w:rsid w:val="00E012A7"/>
    <w:rsid w:val="00E1154B"/>
    <w:rsid w:val="00E2244C"/>
    <w:rsid w:val="00E2323A"/>
    <w:rsid w:val="00E253BA"/>
    <w:rsid w:val="00E30014"/>
    <w:rsid w:val="00E42B80"/>
    <w:rsid w:val="00E44B42"/>
    <w:rsid w:val="00E44FA5"/>
    <w:rsid w:val="00E463D9"/>
    <w:rsid w:val="00E60B30"/>
    <w:rsid w:val="00E64A89"/>
    <w:rsid w:val="00E72D2C"/>
    <w:rsid w:val="00E91D19"/>
    <w:rsid w:val="00EA30FF"/>
    <w:rsid w:val="00EB3539"/>
    <w:rsid w:val="00F000AD"/>
    <w:rsid w:val="00F01405"/>
    <w:rsid w:val="00F03B32"/>
    <w:rsid w:val="00F115B0"/>
    <w:rsid w:val="00F127B7"/>
    <w:rsid w:val="00F225E8"/>
    <w:rsid w:val="00F3780A"/>
    <w:rsid w:val="00F37B17"/>
    <w:rsid w:val="00F420C8"/>
    <w:rsid w:val="00F43B4C"/>
    <w:rsid w:val="00F5296F"/>
    <w:rsid w:val="00F61A7A"/>
    <w:rsid w:val="00F7117F"/>
    <w:rsid w:val="00F83831"/>
    <w:rsid w:val="00F907E6"/>
    <w:rsid w:val="00FA316A"/>
    <w:rsid w:val="00FC2DA4"/>
    <w:rsid w:val="00FD74C3"/>
    <w:rsid w:val="00FE171C"/>
    <w:rsid w:val="00FE7BD8"/>
    <w:rsid w:val="00FF0D79"/>
    <w:rsid w:val="00FF4D42"/>
    <w:rsid w:val="025A4C76"/>
    <w:rsid w:val="02932DB8"/>
    <w:rsid w:val="029561EE"/>
    <w:rsid w:val="02D549D4"/>
    <w:rsid w:val="042639E3"/>
    <w:rsid w:val="050B2953"/>
    <w:rsid w:val="054C5643"/>
    <w:rsid w:val="06A56D79"/>
    <w:rsid w:val="06D370A4"/>
    <w:rsid w:val="07511007"/>
    <w:rsid w:val="0B751FE1"/>
    <w:rsid w:val="0BA8024D"/>
    <w:rsid w:val="0C0F40B1"/>
    <w:rsid w:val="0D751581"/>
    <w:rsid w:val="0EBB4A9F"/>
    <w:rsid w:val="0EE04E25"/>
    <w:rsid w:val="0FB92DA6"/>
    <w:rsid w:val="104A7DA5"/>
    <w:rsid w:val="10BD4F91"/>
    <w:rsid w:val="12561C36"/>
    <w:rsid w:val="15782F26"/>
    <w:rsid w:val="16441375"/>
    <w:rsid w:val="16B46E29"/>
    <w:rsid w:val="16DC428A"/>
    <w:rsid w:val="198600FC"/>
    <w:rsid w:val="1B70578D"/>
    <w:rsid w:val="1B9203FD"/>
    <w:rsid w:val="1CA22CBD"/>
    <w:rsid w:val="1DBD7852"/>
    <w:rsid w:val="1DC748D5"/>
    <w:rsid w:val="1E21697D"/>
    <w:rsid w:val="1E6E5E60"/>
    <w:rsid w:val="1FED4C93"/>
    <w:rsid w:val="220D4B56"/>
    <w:rsid w:val="22832A55"/>
    <w:rsid w:val="234B66AE"/>
    <w:rsid w:val="27475EC3"/>
    <w:rsid w:val="288E2B5D"/>
    <w:rsid w:val="289645E0"/>
    <w:rsid w:val="28E75C2E"/>
    <w:rsid w:val="29576F4C"/>
    <w:rsid w:val="29F61D46"/>
    <w:rsid w:val="2A1E5E98"/>
    <w:rsid w:val="2A6A548E"/>
    <w:rsid w:val="2AD85EB3"/>
    <w:rsid w:val="2D280ACD"/>
    <w:rsid w:val="2F623A47"/>
    <w:rsid w:val="32710157"/>
    <w:rsid w:val="351724D5"/>
    <w:rsid w:val="35401FFE"/>
    <w:rsid w:val="35A327C8"/>
    <w:rsid w:val="368A3D13"/>
    <w:rsid w:val="377F01AE"/>
    <w:rsid w:val="378958BD"/>
    <w:rsid w:val="38BE0827"/>
    <w:rsid w:val="3A0D3D67"/>
    <w:rsid w:val="3B8B1DD2"/>
    <w:rsid w:val="3BE94AEC"/>
    <w:rsid w:val="3BF463C9"/>
    <w:rsid w:val="3C00607A"/>
    <w:rsid w:val="3D273486"/>
    <w:rsid w:val="3E585D6E"/>
    <w:rsid w:val="3F3C1E75"/>
    <w:rsid w:val="3FA946E8"/>
    <w:rsid w:val="41DA4332"/>
    <w:rsid w:val="420D1388"/>
    <w:rsid w:val="427524E0"/>
    <w:rsid w:val="43E51C9A"/>
    <w:rsid w:val="44B13EE0"/>
    <w:rsid w:val="44B60CF0"/>
    <w:rsid w:val="462D1C81"/>
    <w:rsid w:val="46E0162F"/>
    <w:rsid w:val="471C5494"/>
    <w:rsid w:val="492E33DD"/>
    <w:rsid w:val="49F43F6A"/>
    <w:rsid w:val="4CF41855"/>
    <w:rsid w:val="4D3F2129"/>
    <w:rsid w:val="4D736593"/>
    <w:rsid w:val="4EA3671F"/>
    <w:rsid w:val="4ED24A21"/>
    <w:rsid w:val="4EE05756"/>
    <w:rsid w:val="509219A8"/>
    <w:rsid w:val="520B696B"/>
    <w:rsid w:val="52B945F1"/>
    <w:rsid w:val="53390E2F"/>
    <w:rsid w:val="5468533B"/>
    <w:rsid w:val="558C43BE"/>
    <w:rsid w:val="59B6307C"/>
    <w:rsid w:val="5A052A04"/>
    <w:rsid w:val="5A611D99"/>
    <w:rsid w:val="5CCF6D9B"/>
    <w:rsid w:val="5EA55FB4"/>
    <w:rsid w:val="600029ED"/>
    <w:rsid w:val="60075851"/>
    <w:rsid w:val="605D7018"/>
    <w:rsid w:val="61B177B9"/>
    <w:rsid w:val="61C0474F"/>
    <w:rsid w:val="61FD1362"/>
    <w:rsid w:val="64E35EB6"/>
    <w:rsid w:val="6615390F"/>
    <w:rsid w:val="671A6D85"/>
    <w:rsid w:val="67FD7F37"/>
    <w:rsid w:val="683F3861"/>
    <w:rsid w:val="686E74D1"/>
    <w:rsid w:val="68C6084C"/>
    <w:rsid w:val="696F5653"/>
    <w:rsid w:val="6A921208"/>
    <w:rsid w:val="6B0E42DC"/>
    <w:rsid w:val="6D224278"/>
    <w:rsid w:val="6DD449DC"/>
    <w:rsid w:val="6E123409"/>
    <w:rsid w:val="6E135139"/>
    <w:rsid w:val="6E7074E1"/>
    <w:rsid w:val="703D558C"/>
    <w:rsid w:val="70627BD1"/>
    <w:rsid w:val="70F81A26"/>
    <w:rsid w:val="71E522A4"/>
    <w:rsid w:val="745C00E9"/>
    <w:rsid w:val="75956529"/>
    <w:rsid w:val="75EA029F"/>
    <w:rsid w:val="761835DC"/>
    <w:rsid w:val="768350BA"/>
    <w:rsid w:val="76B4438D"/>
    <w:rsid w:val="77B867DE"/>
    <w:rsid w:val="780F6A54"/>
    <w:rsid w:val="78A81621"/>
    <w:rsid w:val="7BCA2690"/>
    <w:rsid w:val="7CA06586"/>
    <w:rsid w:val="7CD44F93"/>
    <w:rsid w:val="7D42379A"/>
    <w:rsid w:val="7F301118"/>
    <w:rsid w:val="7F7A3BAE"/>
    <w:rsid w:val="BFF24899"/>
    <w:rsid w:val="DC257C92"/>
    <w:rsid w:val="FCFAB4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0">
    <w:name w:val="Default Paragraph Font"/>
    <w:unhideWhenUsed/>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Style w:val="8"/>
      <w:tblCellMar>
        <w:top w:w="0" w:type="dxa"/>
        <w:left w:w="108" w:type="dxa"/>
        <w:bottom w:w="0" w:type="dxa"/>
        <w:right w:w="108" w:type="dxa"/>
      </w:tblCellMar>
    </w:tblPr>
  </w:style>
  <w:style w:type="paragraph" w:styleId="2">
    <w:name w:val="annotation text"/>
    <w:basedOn w:val="1"/>
    <w:link w:val="12"/>
    <w:unhideWhenUsed/>
    <w:uiPriority w:val="99"/>
    <w:pPr>
      <w:jc w:val="left"/>
    </w:pPr>
  </w:style>
  <w:style w:type="paragraph" w:styleId="3">
    <w:name w:val="Balloon Text"/>
    <w:basedOn w:val="1"/>
    <w:link w:val="13"/>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6"/>
    <w:unhideWhenUsed/>
    <w:uiPriority w:val="99"/>
    <w:rPr>
      <w:b/>
      <w:bCs/>
    </w:rPr>
  </w:style>
  <w:style w:type="table" w:styleId="9">
    <w:name w:val="Table Grid"/>
    <w:basedOn w:val="8"/>
    <w:uiPriority w:val="39"/>
    <w:rPr>
      <w:rFonts w:ascii="Times New Roman" w:hAnsi="Times New Roman" w:eastAsia="宋体" w:cs="Times New Roman"/>
      <w:kern w:val="0"/>
      <w:sz w:val="20"/>
      <w:szCs w:val="20"/>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uiPriority w:val="99"/>
    <w:rPr>
      <w:sz w:val="21"/>
      <w:szCs w:val="21"/>
    </w:rPr>
  </w:style>
  <w:style w:type="character" w:customStyle="1" w:styleId="12">
    <w:name w:val="批注文字 字符"/>
    <w:link w:val="2"/>
    <w:semiHidden/>
    <w:uiPriority w:val="99"/>
    <w:rPr>
      <w:rFonts w:ascii="Times New Roman" w:hAnsi="Times New Roman" w:eastAsia="宋体" w:cs="Times New Roman"/>
      <w:szCs w:val="20"/>
    </w:rPr>
  </w:style>
  <w:style w:type="character" w:customStyle="1" w:styleId="13">
    <w:name w:val="批注框文本 字符"/>
    <w:link w:val="3"/>
    <w:semiHidden/>
    <w:uiPriority w:val="99"/>
    <w:rPr>
      <w:rFonts w:ascii="Times New Roman" w:hAnsi="Times New Roman" w:eastAsia="宋体" w:cs="Times New Roman"/>
      <w:sz w:val="18"/>
      <w:szCs w:val="18"/>
    </w:rPr>
  </w:style>
  <w:style w:type="character" w:customStyle="1" w:styleId="14">
    <w:name w:val="页脚 字符"/>
    <w:link w:val="4"/>
    <w:uiPriority w:val="99"/>
    <w:rPr>
      <w:sz w:val="18"/>
      <w:szCs w:val="18"/>
    </w:rPr>
  </w:style>
  <w:style w:type="character" w:customStyle="1" w:styleId="15">
    <w:name w:val="页眉 字符"/>
    <w:link w:val="5"/>
    <w:uiPriority w:val="99"/>
    <w:rPr>
      <w:sz w:val="18"/>
      <w:szCs w:val="18"/>
    </w:rPr>
  </w:style>
  <w:style w:type="character" w:customStyle="1" w:styleId="16">
    <w:name w:val="批注主题 字符"/>
    <w:link w:val="7"/>
    <w:semiHidden/>
    <w:uiPriority w:val="99"/>
    <w:rPr>
      <w:rFonts w:ascii="Times New Roman" w:hAnsi="Times New Roman" w:eastAsia="宋体" w:cs="Times New Roman"/>
      <w:b/>
      <w:bCs/>
      <w:szCs w:val="20"/>
    </w:rPr>
  </w:style>
  <w:style w:type="character" w:customStyle="1" w:styleId="17">
    <w:name w:val="font31"/>
    <w:uiPriority w:val="0"/>
    <w:rPr>
      <w:rFonts w:hint="default" w:ascii="Calibri" w:hAnsi="Calibri" w:cs="Calibri"/>
      <w:color w:val="3B3837"/>
      <w:sz w:val="21"/>
      <w:szCs w:val="21"/>
      <w:u w:val="none"/>
    </w:rPr>
  </w:style>
  <w:style w:type="character" w:customStyle="1" w:styleId="18">
    <w:name w:val="font01"/>
    <w:qFormat/>
    <w:uiPriority w:val="0"/>
    <w:rPr>
      <w:rFonts w:hint="default" w:ascii="Calibri" w:hAnsi="Calibri" w:cs="Calibri"/>
      <w:b/>
      <w:bCs/>
      <w:color w:val="000000"/>
      <w:sz w:val="21"/>
      <w:szCs w:val="21"/>
      <w:u w:val="none"/>
    </w:rPr>
  </w:style>
  <w:style w:type="character" w:customStyle="1" w:styleId="19">
    <w:name w:val="font51"/>
    <w:qFormat/>
    <w:uiPriority w:val="0"/>
    <w:rPr>
      <w:rFonts w:hint="eastAsia" w:ascii="宋体" w:hAnsi="宋体" w:eastAsia="宋体" w:cs="宋体"/>
      <w:color w:val="3B3837"/>
      <w:sz w:val="21"/>
      <w:szCs w:val="21"/>
      <w:u w:val="none"/>
    </w:rPr>
  </w:style>
  <w:style w:type="character" w:customStyle="1" w:styleId="20">
    <w:name w:val="font41"/>
    <w:qFormat/>
    <w:uiPriority w:val="0"/>
    <w:rPr>
      <w:rFonts w:hint="eastAsia" w:ascii="宋体" w:hAnsi="宋体" w:eastAsia="宋体" w:cs="宋体"/>
      <w:b/>
      <w:bCs/>
      <w:color w:val="000000"/>
      <w:sz w:val="21"/>
      <w:szCs w:val="21"/>
      <w:u w:val="none"/>
    </w:rPr>
  </w:style>
  <w:style w:type="paragraph" w:styleId="21">
    <w:name w:val=""/>
    <w:semiHidden/>
    <w:uiPriority w:val="99"/>
    <w:rPr>
      <w:kern w:val="2"/>
      <w:sz w:val="21"/>
      <w:lang w:val="en-US" w:eastAsia="zh-CN" w:bidi="ar-SA"/>
    </w:rPr>
  </w:style>
  <w:style w:type="paragraph" w:styleId="22">
    <w:name w:val="List Paragraph"/>
    <w:basedOn w:val="1"/>
    <w:qFormat/>
    <w:uiPriority w:val="34"/>
    <w:pPr>
      <w:ind w:firstLine="420" w:firstLineChars="200"/>
    </w:pPr>
  </w:style>
  <w:style w:type="paragraph" w:customStyle="1" w:styleId="23">
    <w:name w:val="msolistparagraph"/>
    <w:basedOn w:val="1"/>
    <w:uiPriority w:val="0"/>
    <w:pPr>
      <w:keepNext w:val="0"/>
      <w:keepLines w:val="0"/>
      <w:widowControl/>
      <w:suppressLineNumbers w:val="0"/>
      <w:spacing w:before="0" w:beforeAutospacing="0" w:after="0" w:afterAutospacing="0"/>
      <w:ind w:left="0" w:right="0" w:firstLine="420"/>
      <w:jc w:val="both"/>
    </w:pPr>
    <w:rPr>
      <w:rFonts w:hint="eastAsia"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601</Words>
  <Characters>3427</Characters>
  <Lines>28</Lines>
  <Paragraphs>8</Paragraphs>
  <TotalTime>1</TotalTime>
  <ScaleCrop>false</ScaleCrop>
  <LinksUpToDate>false</LinksUpToDate>
  <CharactersWithSpaces>4020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2017-05-26T15:37:00Z</dcterms:created>
  <dc:creator>Wu Han 邬焓</dc:creator>
  <cp:lastModifiedBy>海涛</cp:lastModifiedBy>
  <cp:lastPrinted>2017-05-26T02:37:00Z</cp:lastPrinted>
  <dcterms:modified xsi:type="dcterms:W3CDTF">2024-04-26T07:09:41Z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36F50A9420B743CC9136B69E7B3AFEDC_13</vt:lpwstr>
  </property>
</Properties>
</file>